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122056" w:rsidTr="006A2FF1">
        <w:trPr>
          <w:trHeight w:val="732"/>
        </w:trPr>
        <w:tc>
          <w:tcPr>
            <w:tcW w:w="4505" w:type="dxa"/>
            <w:gridSpan w:val="3"/>
            <w:vMerge w:val="restart"/>
          </w:tcPr>
          <w:p w:rsidR="00122056" w:rsidRPr="004C3D01" w:rsidRDefault="00122056" w:rsidP="00122056">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122056" w:rsidRPr="004C3D01" w:rsidRDefault="00122056" w:rsidP="00122056">
            <w:pPr>
              <w:jc w:val="center"/>
              <w:rPr>
                <w:b/>
                <w:sz w:val="24"/>
              </w:rPr>
            </w:pPr>
            <w:r w:rsidRPr="004C3D01">
              <w:rPr>
                <w:b/>
                <w:sz w:val="24"/>
              </w:rPr>
              <w:t>«ДЕТСКИЙ САД № 1 «</w:t>
            </w:r>
            <w:r>
              <w:rPr>
                <w:b/>
                <w:sz w:val="24"/>
              </w:rPr>
              <w:t>РАССВЕТ</w:t>
            </w:r>
            <w:r w:rsidRPr="004C3D01">
              <w:rPr>
                <w:b/>
                <w:sz w:val="24"/>
              </w:rPr>
              <w:t xml:space="preserve">» </w:t>
            </w:r>
          </w:p>
          <w:p w:rsidR="00122056" w:rsidRPr="004C3D01" w:rsidRDefault="00122056" w:rsidP="00122056">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122056" w:rsidRPr="004C3D01" w:rsidRDefault="00122056" w:rsidP="00122056">
            <w:pPr>
              <w:jc w:val="center"/>
            </w:pPr>
          </w:p>
          <w:p w:rsidR="00122056" w:rsidRPr="004C3D01" w:rsidRDefault="00122056" w:rsidP="00122056">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122056" w:rsidRPr="004C3D01" w:rsidRDefault="00122056" w:rsidP="00122056">
            <w:pPr>
              <w:pStyle w:val="a4"/>
              <w:rPr>
                <w:rFonts w:ascii="Times New Roman" w:hAnsi="Times New Roman" w:cs="Times New Roman"/>
                <w:sz w:val="28"/>
                <w:szCs w:val="28"/>
                <w:lang w:eastAsia="en-US"/>
              </w:rPr>
            </w:pPr>
          </w:p>
          <w:p w:rsidR="00122056" w:rsidRPr="004C3D01" w:rsidRDefault="00122056" w:rsidP="00122056">
            <w:pPr>
              <w:pStyle w:val="a4"/>
              <w:rPr>
                <w:rFonts w:ascii="Times New Roman" w:hAnsi="Times New Roman" w:cs="Times New Roman"/>
                <w:sz w:val="28"/>
                <w:szCs w:val="28"/>
                <w:lang w:eastAsia="en-US"/>
              </w:rPr>
            </w:pPr>
          </w:p>
        </w:tc>
        <w:tc>
          <w:tcPr>
            <w:tcW w:w="4539" w:type="dxa"/>
            <w:gridSpan w:val="2"/>
            <w:hideMark/>
          </w:tcPr>
          <w:p w:rsidR="00122056" w:rsidRPr="004C3D01" w:rsidRDefault="00122056" w:rsidP="00122056">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122056" w:rsidRPr="004C3D01" w:rsidRDefault="00122056" w:rsidP="00122056">
            <w:pPr>
              <w:ind w:right="-108"/>
              <w:rPr>
                <w:sz w:val="28"/>
                <w:szCs w:val="28"/>
              </w:rPr>
            </w:pPr>
            <w:r w:rsidRPr="004C3D01">
              <w:rPr>
                <w:sz w:val="28"/>
              </w:rPr>
              <w:t>Заведующий</w:t>
            </w:r>
          </w:p>
        </w:tc>
      </w:tr>
      <w:tr w:rsidR="00122056" w:rsidTr="00122056">
        <w:trPr>
          <w:trHeight w:val="292"/>
        </w:trPr>
        <w:tc>
          <w:tcPr>
            <w:tcW w:w="4505" w:type="dxa"/>
            <w:gridSpan w:val="3"/>
            <w:vMerge/>
            <w:vAlign w:val="center"/>
            <w:hideMark/>
          </w:tcPr>
          <w:p w:rsidR="00122056" w:rsidRDefault="00122056" w:rsidP="00122056">
            <w:pPr>
              <w:spacing w:line="240" w:lineRule="auto"/>
              <w:rPr>
                <w:rFonts w:eastAsiaTheme="minorEastAsia"/>
                <w:color w:val="000000"/>
                <w:sz w:val="24"/>
                <w:szCs w:val="28"/>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1986" w:type="dxa"/>
            <w:tcBorders>
              <w:top w:val="nil"/>
              <w:left w:val="nil"/>
              <w:bottom w:val="single" w:sz="4" w:space="0" w:color="auto"/>
              <w:right w:val="nil"/>
            </w:tcBorders>
          </w:tcPr>
          <w:p w:rsidR="00122056" w:rsidRDefault="00122056" w:rsidP="00122056">
            <w:pPr>
              <w:pStyle w:val="a4"/>
              <w:ind w:right="34"/>
              <w:jc w:val="center"/>
              <w:rPr>
                <w:rFonts w:ascii="Times New Roman" w:hAnsi="Times New Roman" w:cs="Times New Roman"/>
                <w:i/>
                <w:sz w:val="28"/>
                <w:lang w:eastAsia="en-US"/>
              </w:rPr>
            </w:pPr>
          </w:p>
        </w:tc>
        <w:tc>
          <w:tcPr>
            <w:tcW w:w="2553" w:type="dxa"/>
            <w:vMerge w:val="restart"/>
            <w:hideMark/>
          </w:tcPr>
          <w:p w:rsidR="00122056" w:rsidRDefault="00122056" w:rsidP="00122056">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122056" w:rsidTr="00122056">
        <w:trPr>
          <w:trHeight w:val="70"/>
        </w:trPr>
        <w:tc>
          <w:tcPr>
            <w:tcW w:w="4505" w:type="dxa"/>
            <w:gridSpan w:val="3"/>
            <w:vMerge/>
            <w:vAlign w:val="center"/>
            <w:hideMark/>
          </w:tcPr>
          <w:p w:rsidR="00122056" w:rsidRDefault="00122056" w:rsidP="00122056">
            <w:pPr>
              <w:spacing w:line="240" w:lineRule="auto"/>
              <w:rPr>
                <w:rFonts w:eastAsiaTheme="minorEastAsia"/>
                <w:color w:val="000000"/>
                <w:sz w:val="24"/>
                <w:szCs w:val="28"/>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1986" w:type="dxa"/>
            <w:tcBorders>
              <w:top w:val="single" w:sz="4" w:space="0" w:color="auto"/>
              <w:left w:val="nil"/>
              <w:bottom w:val="nil"/>
              <w:right w:val="nil"/>
            </w:tcBorders>
            <w:hideMark/>
          </w:tcPr>
          <w:p w:rsidR="00122056" w:rsidRDefault="00122056" w:rsidP="00122056">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122056" w:rsidRDefault="00122056" w:rsidP="00122056">
            <w:pPr>
              <w:spacing w:line="240" w:lineRule="auto"/>
              <w:rPr>
                <w:rFonts w:eastAsiaTheme="minorEastAsia"/>
                <w:sz w:val="28"/>
                <w:szCs w:val="24"/>
              </w:rPr>
            </w:pPr>
          </w:p>
        </w:tc>
      </w:tr>
      <w:tr w:rsidR="00122056" w:rsidTr="00122056">
        <w:trPr>
          <w:trHeight w:val="276"/>
        </w:trPr>
        <w:tc>
          <w:tcPr>
            <w:tcW w:w="4505" w:type="dxa"/>
            <w:gridSpan w:val="3"/>
            <w:vMerge/>
            <w:vAlign w:val="center"/>
            <w:hideMark/>
          </w:tcPr>
          <w:p w:rsidR="00122056" w:rsidRDefault="00122056" w:rsidP="00122056">
            <w:pPr>
              <w:spacing w:line="240" w:lineRule="auto"/>
              <w:rPr>
                <w:rFonts w:eastAsiaTheme="minorEastAsia"/>
                <w:color w:val="000000"/>
                <w:sz w:val="24"/>
                <w:szCs w:val="28"/>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4539" w:type="dxa"/>
            <w:gridSpan w:val="2"/>
            <w:vMerge w:val="restart"/>
          </w:tcPr>
          <w:p w:rsidR="00122056" w:rsidRDefault="00122056" w:rsidP="00122056">
            <w:pPr>
              <w:pStyle w:val="a4"/>
              <w:spacing w:line="254" w:lineRule="auto"/>
              <w:rPr>
                <w:rFonts w:ascii="Times New Roman" w:hAnsi="Times New Roman" w:cs="Times New Roman"/>
                <w:sz w:val="28"/>
                <w:lang w:eastAsia="en-US"/>
              </w:rPr>
            </w:pPr>
          </w:p>
          <w:p w:rsidR="00122056" w:rsidRDefault="00122056" w:rsidP="00122056">
            <w:pPr>
              <w:pStyle w:val="a4"/>
              <w:rPr>
                <w:rFonts w:ascii="Times New Roman" w:hAnsi="Times New Roman" w:cs="Times New Roman"/>
                <w:sz w:val="28"/>
                <w:lang w:eastAsia="en-US"/>
              </w:rPr>
            </w:pPr>
          </w:p>
        </w:tc>
      </w:tr>
      <w:tr w:rsidR="00122056" w:rsidTr="00122056">
        <w:tc>
          <w:tcPr>
            <w:tcW w:w="1952" w:type="dxa"/>
            <w:tcBorders>
              <w:top w:val="nil"/>
              <w:left w:val="nil"/>
              <w:bottom w:val="single" w:sz="4" w:space="0" w:color="auto"/>
              <w:right w:val="nil"/>
            </w:tcBorders>
            <w:vAlign w:val="center"/>
            <w:hideMark/>
          </w:tcPr>
          <w:p w:rsidR="00122056" w:rsidRDefault="00122056" w:rsidP="00122056">
            <w:pPr>
              <w:pStyle w:val="a4"/>
              <w:spacing w:line="254" w:lineRule="auto"/>
              <w:jc w:val="center"/>
              <w:rPr>
                <w:rFonts w:ascii="Times New Roman" w:hAnsi="Times New Roman" w:cs="Times New Roman"/>
                <w:sz w:val="28"/>
                <w:szCs w:val="28"/>
                <w:lang w:eastAsia="en-US"/>
              </w:rPr>
            </w:pPr>
          </w:p>
        </w:tc>
        <w:tc>
          <w:tcPr>
            <w:tcW w:w="567" w:type="dxa"/>
            <w:vAlign w:val="center"/>
            <w:hideMark/>
          </w:tcPr>
          <w:p w:rsidR="00122056" w:rsidRDefault="00122056" w:rsidP="00122056">
            <w:pPr>
              <w:spacing w:line="240" w:lineRule="auto"/>
              <w:rPr>
                <w:sz w:val="28"/>
                <w:szCs w:val="28"/>
              </w:rPr>
            </w:pPr>
          </w:p>
        </w:tc>
        <w:tc>
          <w:tcPr>
            <w:tcW w:w="1986" w:type="dxa"/>
            <w:tcBorders>
              <w:top w:val="nil"/>
              <w:left w:val="nil"/>
              <w:bottom w:val="single" w:sz="4" w:space="0" w:color="auto"/>
              <w:right w:val="nil"/>
            </w:tcBorders>
            <w:vAlign w:val="center"/>
          </w:tcPr>
          <w:p w:rsidR="00122056" w:rsidRDefault="00122056" w:rsidP="00122056">
            <w:pPr>
              <w:spacing w:line="240" w:lineRule="auto"/>
              <w:rPr>
                <w:sz w:val="28"/>
                <w:szCs w:val="24"/>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4539" w:type="dxa"/>
            <w:gridSpan w:val="2"/>
            <w:vMerge/>
            <w:vAlign w:val="center"/>
            <w:hideMark/>
          </w:tcPr>
          <w:p w:rsidR="00122056" w:rsidRDefault="00122056" w:rsidP="00122056">
            <w:pPr>
              <w:spacing w:line="240" w:lineRule="auto"/>
              <w:rPr>
                <w:rFonts w:eastAsiaTheme="minorEastAsia"/>
                <w:sz w:val="28"/>
                <w:szCs w:val="24"/>
              </w:rPr>
            </w:pPr>
          </w:p>
        </w:tc>
      </w:tr>
      <w:tr w:rsidR="00122056" w:rsidTr="00122056">
        <w:tc>
          <w:tcPr>
            <w:tcW w:w="4505" w:type="dxa"/>
            <w:gridSpan w:val="3"/>
          </w:tcPr>
          <w:p w:rsidR="00122056" w:rsidRDefault="00122056" w:rsidP="00122056">
            <w:pPr>
              <w:pStyle w:val="a4"/>
              <w:jc w:val="center"/>
              <w:rPr>
                <w:rFonts w:ascii="Times New Roman" w:hAnsi="Times New Roman" w:cs="Times New Roman"/>
                <w:sz w:val="28"/>
                <w:szCs w:val="28"/>
                <w:lang w:eastAsia="en-US"/>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4539" w:type="dxa"/>
            <w:gridSpan w:val="2"/>
            <w:vMerge/>
            <w:vAlign w:val="center"/>
            <w:hideMark/>
          </w:tcPr>
          <w:p w:rsidR="00122056" w:rsidRDefault="00122056" w:rsidP="00122056">
            <w:pPr>
              <w:spacing w:line="240" w:lineRule="auto"/>
              <w:rPr>
                <w:rFonts w:eastAsiaTheme="minorEastAsia"/>
                <w:sz w:val="28"/>
                <w:szCs w:val="24"/>
              </w:rPr>
            </w:pPr>
          </w:p>
        </w:tc>
      </w:tr>
      <w:tr w:rsidR="00122056" w:rsidTr="00122056">
        <w:trPr>
          <w:trHeight w:val="1347"/>
        </w:trPr>
        <w:tc>
          <w:tcPr>
            <w:tcW w:w="4505" w:type="dxa"/>
            <w:gridSpan w:val="3"/>
            <w:hideMark/>
          </w:tcPr>
          <w:p w:rsidR="00122056" w:rsidRPr="004C3D01" w:rsidRDefault="00122056" w:rsidP="00122056">
            <w:pPr>
              <w:autoSpaceDE w:val="0"/>
              <w:autoSpaceDN w:val="0"/>
              <w:adjustRightInd w:val="0"/>
              <w:rPr>
                <w:b/>
                <w:color w:val="000000"/>
                <w:sz w:val="28"/>
                <w:szCs w:val="32"/>
                <w:lang w:eastAsia="ru-RU"/>
              </w:rPr>
            </w:pPr>
            <w:r>
              <w:rPr>
                <w:b/>
                <w:color w:val="000000"/>
                <w:sz w:val="28"/>
                <w:szCs w:val="32"/>
              </w:rPr>
              <w:t>О комиссии по охране труда</w:t>
            </w:r>
          </w:p>
          <w:p w:rsidR="00122056" w:rsidRDefault="00122056" w:rsidP="00122056">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122056" w:rsidRDefault="00122056" w:rsidP="00122056">
            <w:pPr>
              <w:spacing w:line="240" w:lineRule="auto"/>
              <w:rPr>
                <w:rFonts w:eastAsia="Calibri"/>
                <w:b/>
                <w:bCs/>
                <w:color w:val="000000" w:themeColor="text1"/>
                <w:sz w:val="28"/>
                <w:szCs w:val="28"/>
                <w:bdr w:val="none" w:sz="0" w:space="0" w:color="auto" w:frame="1"/>
                <w:lang w:eastAsia="ru-RU"/>
              </w:rPr>
            </w:pPr>
          </w:p>
        </w:tc>
        <w:tc>
          <w:tcPr>
            <w:tcW w:w="991" w:type="dxa"/>
            <w:vMerge/>
            <w:vAlign w:val="center"/>
            <w:hideMark/>
          </w:tcPr>
          <w:p w:rsidR="00122056" w:rsidRDefault="00122056" w:rsidP="00122056">
            <w:pPr>
              <w:spacing w:line="240" w:lineRule="auto"/>
              <w:rPr>
                <w:rFonts w:eastAsiaTheme="minorEastAsia"/>
                <w:sz w:val="28"/>
                <w:szCs w:val="28"/>
              </w:rPr>
            </w:pPr>
          </w:p>
        </w:tc>
        <w:tc>
          <w:tcPr>
            <w:tcW w:w="4539" w:type="dxa"/>
            <w:gridSpan w:val="2"/>
            <w:vMerge/>
            <w:vAlign w:val="center"/>
            <w:hideMark/>
          </w:tcPr>
          <w:p w:rsidR="00122056" w:rsidRDefault="00122056" w:rsidP="00122056">
            <w:pPr>
              <w:spacing w:line="240" w:lineRule="auto"/>
              <w:rPr>
                <w:rFonts w:eastAsiaTheme="minorEastAsia"/>
                <w:sz w:val="28"/>
                <w:szCs w:val="24"/>
              </w:rPr>
            </w:pPr>
          </w:p>
        </w:tc>
      </w:tr>
      <w:tr w:rsidR="00122056" w:rsidTr="006A2FF1">
        <w:trPr>
          <w:trHeight w:val="150"/>
        </w:trPr>
        <w:tc>
          <w:tcPr>
            <w:tcW w:w="4505" w:type="dxa"/>
            <w:gridSpan w:val="3"/>
            <w:hideMark/>
          </w:tcPr>
          <w:p w:rsidR="00122056" w:rsidRPr="004C3D01" w:rsidRDefault="00122056" w:rsidP="00122056">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122056" w:rsidRPr="004C3D01" w:rsidRDefault="00122056" w:rsidP="00122056">
            <w:pPr>
              <w:pStyle w:val="a4"/>
              <w:rPr>
                <w:rFonts w:ascii="Times New Roman" w:hAnsi="Times New Roman" w:cs="Times New Roman"/>
                <w:sz w:val="28"/>
                <w:szCs w:val="28"/>
                <w:lang w:eastAsia="en-US"/>
              </w:rPr>
            </w:pPr>
          </w:p>
        </w:tc>
        <w:tc>
          <w:tcPr>
            <w:tcW w:w="4539" w:type="dxa"/>
            <w:gridSpan w:val="2"/>
          </w:tcPr>
          <w:p w:rsidR="00122056" w:rsidRPr="004C3D01" w:rsidRDefault="00122056" w:rsidP="00122056">
            <w:pPr>
              <w:pStyle w:val="a4"/>
              <w:ind w:left="-108"/>
              <w:rPr>
                <w:rFonts w:ascii="Times New Roman" w:hAnsi="Times New Roman" w:cs="Times New Roman"/>
                <w:sz w:val="28"/>
                <w:szCs w:val="28"/>
                <w:lang w:eastAsia="en-US"/>
              </w:rPr>
            </w:pPr>
          </w:p>
        </w:tc>
      </w:tr>
      <w:tr w:rsidR="00122056" w:rsidTr="006A2FF1">
        <w:tc>
          <w:tcPr>
            <w:tcW w:w="4505" w:type="dxa"/>
            <w:gridSpan w:val="3"/>
          </w:tcPr>
          <w:p w:rsidR="00122056" w:rsidRDefault="00122056" w:rsidP="00122056">
            <w:pPr>
              <w:pStyle w:val="a4"/>
              <w:rPr>
                <w:rFonts w:ascii="Times New Roman" w:hAnsi="Times New Roman" w:cs="Times New Roman"/>
                <w:sz w:val="28"/>
                <w:szCs w:val="28"/>
                <w:lang w:eastAsia="en-US"/>
              </w:rPr>
            </w:pPr>
          </w:p>
        </w:tc>
        <w:tc>
          <w:tcPr>
            <w:tcW w:w="991" w:type="dxa"/>
          </w:tcPr>
          <w:p w:rsidR="00122056" w:rsidRDefault="00122056" w:rsidP="00122056">
            <w:pPr>
              <w:pStyle w:val="a4"/>
              <w:rPr>
                <w:rFonts w:ascii="Times New Roman" w:hAnsi="Times New Roman" w:cs="Times New Roman"/>
                <w:sz w:val="28"/>
                <w:szCs w:val="28"/>
                <w:lang w:eastAsia="en-US"/>
              </w:rPr>
            </w:pPr>
          </w:p>
        </w:tc>
        <w:tc>
          <w:tcPr>
            <w:tcW w:w="4539" w:type="dxa"/>
            <w:gridSpan w:val="2"/>
          </w:tcPr>
          <w:p w:rsidR="00122056" w:rsidRDefault="00122056" w:rsidP="00122056">
            <w:pPr>
              <w:pStyle w:val="a4"/>
              <w:ind w:left="-108"/>
              <w:rPr>
                <w:rFonts w:ascii="Times New Roman" w:hAnsi="Times New Roman" w:cs="Times New Roman"/>
                <w:sz w:val="28"/>
                <w:szCs w:val="28"/>
                <w:lang w:eastAsia="en-US"/>
              </w:rPr>
            </w:pPr>
          </w:p>
        </w:tc>
      </w:tr>
    </w:tbl>
    <w:p w:rsidR="00790C02" w:rsidRDefault="00790C02"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1. Общие положения</w:t>
      </w:r>
    </w:p>
    <w:p w:rsidR="002F7CBD" w:rsidRDefault="002F7CBD"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1.1. Настоящее Положение о комиссии (комитете) по охране труда дошкольного образовательного учреждения (ДОУ) разработано в соответствии со статьей 218 «Комитеты (комиссии) по охране труда» Трудового кодекса Российской Федерации, на основе Типового положения о комитете (комиссии) по охране труда, утверждённого Приказом Министерства труда и социальной защиты Российской Федерации от 24 июня 2014 г. № 412н.</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1.2. Данное Положение о комиссии по охране труда в ДОУ составлено с целью организации совместных действий заведующего детским садом,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 дошкольного образовательного учреждения.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1.3. Положение о комиссии по охране труда является локальным нормативным актом, регламентирует деятельность ДОУ (детского сада) по охране труда и предусматривает основные задачи, функции и права, а также порядок организации комиссии по охране труда в дошкольном образовательном учреждении.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1.4. Комиссия является составной частью системы управления охраной труда дошкольного образовательного учреждения, а также одной из форм </w:t>
      </w:r>
      <w:r w:rsidRPr="002F7CBD">
        <w:rPr>
          <w:rFonts w:ascii="Times New Roman" w:hAnsi="Times New Roman" w:cs="Times New Roman"/>
          <w:sz w:val="28"/>
          <w:szCs w:val="28"/>
        </w:rPr>
        <w:lastRenderedPageBreak/>
        <w:t xml:space="preserve">участия работников в управлении организацией в области охраны труда. Работа комиссии строится на принципах социального партнерства.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1.5. Комиссия по охране труда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1.6.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дошкольного образовательного учреждения.</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2. Задачи комиссии по охране труда</w:t>
      </w:r>
    </w:p>
    <w:p w:rsidR="002F7CBD" w:rsidRDefault="002F7CBD"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2.1. Разработка на основе предложений членов Комиссии по охране труда программы совместных действий заведующего ДОУ,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2.2. Организация проведения проверок состояния условий и охраны труда на рабочих местах, подготовка соответствующих предложений заведующему дошкольным образовательным учреждением по решению проблем охраны труда на основе анализа состояния условий и охраны труда, производственного травматизма и профессиональной заболеваемости.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2.3. Информирование сотрудников ДОУ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3. Функции комиссии по охране труда</w:t>
      </w:r>
    </w:p>
    <w:p w:rsidR="002F7CBD" w:rsidRDefault="002F7CBD"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3.1. Рассмотрение предложений заведующего ДОУ, сотрудников,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lastRenderedPageBreak/>
        <w:t xml:space="preserve">3.2. Оказание содействия заведующему в организации обучения работников дошкольного образовательного учреждения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3.3. Участие в проведении обследований состояния условий и охраны труда в дошкольной образовательной организации, рассмотрении их результатов к выработке рекомендаций работодателю по устранению выявленных нарушений.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3.4. Информирование работников ДОУ о проводимых мероприятиях по улучшению условий и охраны труда, профилактике производственного травматизма и профессиональных заболеваний.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3.5. Доведение до сведения работников дошкольного образовательного учреждения, результатов специальной оценки условий труда.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3.6. Информирование сотрудников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 в дошкольное образовательное учреждение.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3.8. Участие в рассмотрении вопросов финансирования мероприятий по охране труда в ДОУ, обязательного социального страхования от несчастных случаев на производстве и профессиональных заболеваний, а также осуществление контроля расходования средств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3.9. Содействие заведующему во внедрении в дошкольном образовательном учреждении более совершенных технологий, новой техники, автоматизации и механизации рабочих процессов с цепью создания безопасных условий труда, ликвидации тяжелых физических работ.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3.10. Подготовка и представление заведующему ДОУ предложений по совершенствованию работ по охране труда и сохранению здоровья работников, созданию системы морального и материального поощрения </w:t>
      </w:r>
      <w:r w:rsidRPr="002F7CBD">
        <w:rPr>
          <w:rFonts w:ascii="Times New Roman" w:hAnsi="Times New Roman" w:cs="Times New Roman"/>
          <w:sz w:val="28"/>
          <w:szCs w:val="28"/>
        </w:rPr>
        <w:lastRenderedPageBreak/>
        <w:t xml:space="preserve">сотрудников, соблюдающих требования охраны труда и обеспечивающих сохранение и улучшение состояния здоровья.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3.11. Рассмотрение проектов локальных нормативных правовых актов по охране труда и подготовка предложений по ним заведующему, профсоюзному выборному органу и (или) иному уполномоченному работниками представительному органу дошкольного образовательного учреждения.</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4. Права комиссии по охране труда</w:t>
      </w:r>
    </w:p>
    <w:p w:rsidR="002F7CBD" w:rsidRDefault="002F7CBD"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4.1. Получать от заведующего дошкольным образовательным учреждением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4.2. Заслушивать на заседаниях комиссии (комитета) по охране труда сообщения заведующего ДОУ (его представителей), руководителей структурных подразделений и других работников детского сада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4.3. Заслушивать на заседаниях Комиссии заместителей заведующего и других работников, допустивших нарушения требований охраны труда, повлекших за собой тяжелые последствия, и вносить заведующему ДОУ предложения о привлечении их к ответственности в соответствии с законодательством Российской Федерации.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4.4. Участвовать в подготовке предложений к разделу коллективного договора (соглашения по охране труда) по вопросам, находящимся в компетенции Комиссии.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4.5. Вносить заведующему дошкольным образовательным учреждением предложения о поощрении работников детского сада за активное участие в работе по созданию условий труда, отвечающих требованиям безопасности и гигиены.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5. Порядок организации работы комиссии</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lastRenderedPageBreak/>
        <w:t xml:space="preserve">5.1. Комиссия по охране труда создается по инициативе заведующего ДОУ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5.2. Численность Комиссии определяется в зависимости от численности работников в дошкольном образовательном учреждении, специфики работы, количества структурных подразделений и других особенностей, по взаимной договоренности сторон, представляющих интересы работодателя и сотрудников.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5.3. Выдвижение в Комиссию представителей работников ДОУ может осуществляться на основании решения выборного органа первичной профсоюзной организации, если он объединяет более половины работающих, или на общем собрании (конференции) работников; представителей работодателя – заведующим детским садом. Состав Комиссии утверждается приказом заведующего дошкольным образовательным учреждением.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5.4. Комиссия по охране труда избирает из своего состава председателя, секретаря. Председателем Комиссии, как правило, является заведующий ДОУ или его ответственный представитель, секретарем - работник службы охраны труда.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5.5. Комиссия осуществляет свою деятельность в соответствии с разрабатываемым ею регламентом и планом работы, пользуется Положением о порядке расследования несчастных случаев в ДОУ, в также разделами Положения о трехступенчатом контроле в ДОУ, относящимися к работе Комиссии.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5.6. Члены Комиссии по охране труда должны проходить обучение по охране труда за счет средств работодателя, а также за счет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5.7. Члены Комиссии информируют не реже одного раза в год выборный орган первичной профсоюзной организации или общее собрание (конференцию) работников о проделанной ими в Комиссии работе.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5.8. Выборный орган первичной профсоюзной организации или общее собрание (конференция) работников ДОУ вправе отзывать из Комиссии своих представителей и выдвигать в его состав новых представителей. </w:t>
      </w:r>
      <w:r w:rsidRPr="002F7CBD">
        <w:rPr>
          <w:rFonts w:ascii="Times New Roman" w:hAnsi="Times New Roman" w:cs="Times New Roman"/>
          <w:sz w:val="28"/>
          <w:szCs w:val="28"/>
        </w:rPr>
        <w:lastRenderedPageBreak/>
        <w:t xml:space="preserve">Заведующий вправе своим решением отзывать своих представителей из Комиссии по охране труда и назначать вместо них новых представителей.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5.9. Обеспечение деятельности Комиссии, его членов (освобождение от основной работы на время исполнения обязанностей, прохождения обучения и т.п.) устанавливается Коллективным договором, локальным нормативным правовым актом дошкольного образовательного учреждения.</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2F7CBD" w:rsidRPr="006A2FF1" w:rsidRDefault="002F7CBD" w:rsidP="002F7CBD">
      <w:pPr>
        <w:spacing w:after="0" w:line="276" w:lineRule="auto"/>
        <w:ind w:firstLine="709"/>
        <w:jc w:val="center"/>
        <w:rPr>
          <w:rFonts w:ascii="Times New Roman" w:hAnsi="Times New Roman" w:cs="Times New Roman"/>
          <w:b/>
          <w:sz w:val="28"/>
          <w:szCs w:val="28"/>
        </w:rPr>
      </w:pPr>
      <w:r w:rsidRPr="006A2FF1">
        <w:rPr>
          <w:rFonts w:ascii="Times New Roman" w:hAnsi="Times New Roman" w:cs="Times New Roman"/>
          <w:b/>
          <w:sz w:val="28"/>
          <w:szCs w:val="28"/>
        </w:rPr>
        <w:t>6. Заключительные положения</w:t>
      </w:r>
    </w:p>
    <w:p w:rsidR="002F7CBD" w:rsidRDefault="002F7CBD" w:rsidP="002F7CBD">
      <w:pPr>
        <w:spacing w:after="0" w:line="276" w:lineRule="auto"/>
        <w:ind w:firstLine="709"/>
        <w:jc w:val="both"/>
        <w:rPr>
          <w:rFonts w:ascii="Times New Roman" w:hAnsi="Times New Roman" w:cs="Times New Roman"/>
          <w:sz w:val="28"/>
          <w:szCs w:val="28"/>
        </w:rPr>
      </w:pP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6.1. Настоящее Положение о комиссии (комитете) по охране труда в ДОУ является локальным нормативным актом, утверждается (вводится в действие) приказом заведующего с учетом мнения выборного профсоюзного органа и (или) иного уполномоченного работниками представительного органа, принимается на Общем собрании работников дошкольного образовательного учреждения.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 xml:space="preserve">6.3. Положение о комиссии по охране труда принимается на неопределенный срок. Изменения и дополнения к Положению принимаются в порядке, предусмотренном п.6.1. настоящего Положения. </w:t>
      </w:r>
    </w:p>
    <w:p w:rsidR="002F7CBD" w:rsidRPr="002F7CBD" w:rsidRDefault="002F7CBD" w:rsidP="002F7CBD">
      <w:pPr>
        <w:spacing w:after="0" w:line="276" w:lineRule="auto"/>
        <w:ind w:firstLine="709"/>
        <w:jc w:val="both"/>
        <w:rPr>
          <w:rFonts w:ascii="Times New Roman" w:hAnsi="Times New Roman" w:cs="Times New Roman"/>
          <w:sz w:val="28"/>
          <w:szCs w:val="28"/>
        </w:rPr>
      </w:pPr>
      <w:r w:rsidRPr="002F7CBD">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F7CBD" w:rsidRPr="002F7CBD" w:rsidRDefault="002F7CBD" w:rsidP="002F7CBD">
      <w:pPr>
        <w:spacing w:after="0" w:line="276" w:lineRule="auto"/>
        <w:ind w:firstLine="709"/>
        <w:jc w:val="both"/>
        <w:rPr>
          <w:rFonts w:ascii="Times New Roman" w:hAnsi="Times New Roman" w:cs="Times New Roman"/>
          <w:sz w:val="28"/>
          <w:szCs w:val="28"/>
        </w:rPr>
      </w:pPr>
    </w:p>
    <w:p w:rsidR="00122056" w:rsidRPr="00122056" w:rsidRDefault="00122056" w:rsidP="00122056">
      <w:pPr>
        <w:spacing w:after="0" w:line="276" w:lineRule="auto"/>
        <w:jc w:val="both"/>
        <w:rPr>
          <w:rFonts w:ascii="Times New Roman" w:hAnsi="Times New Roman" w:cs="Times New Roman"/>
          <w:sz w:val="28"/>
          <w:szCs w:val="28"/>
        </w:rPr>
      </w:pPr>
      <w:r w:rsidRPr="00122056">
        <w:rPr>
          <w:rFonts w:ascii="Times New Roman" w:eastAsia="Calibri" w:hAnsi="Times New Roman" w:cs="Times New Roman"/>
          <w:sz w:val="28"/>
        </w:rPr>
        <w:t>ПРИНЯТО</w:t>
      </w:r>
      <w:r w:rsidRPr="0012205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2056">
        <w:rPr>
          <w:rFonts w:ascii="Times New Roman" w:hAnsi="Times New Roman" w:cs="Times New Roman"/>
          <w:sz w:val="28"/>
          <w:szCs w:val="28"/>
        </w:rPr>
        <w:t>Согласовано с Профсоюзным комитетом</w:t>
      </w:r>
    </w:p>
    <w:p w:rsidR="00122056" w:rsidRPr="00122056" w:rsidRDefault="00122056" w:rsidP="00122056">
      <w:pPr>
        <w:spacing w:after="0" w:line="276" w:lineRule="auto"/>
        <w:jc w:val="both"/>
        <w:rPr>
          <w:rFonts w:ascii="Times New Roman" w:hAnsi="Times New Roman" w:cs="Times New Roman"/>
          <w:sz w:val="28"/>
          <w:szCs w:val="28"/>
        </w:rPr>
      </w:pPr>
      <w:r w:rsidRPr="00122056">
        <w:rPr>
          <w:rFonts w:ascii="Times New Roman" w:eastAsia="Calibri" w:hAnsi="Times New Roman" w:cs="Times New Roman"/>
          <w:sz w:val="28"/>
        </w:rPr>
        <w:t xml:space="preserve">на </w:t>
      </w:r>
      <w:r>
        <w:rPr>
          <w:rFonts w:ascii="Times New Roman" w:eastAsia="Calibri" w:hAnsi="Times New Roman" w:cs="Times New Roman"/>
          <w:sz w:val="28"/>
        </w:rPr>
        <w:t>общем собрании</w:t>
      </w:r>
      <w:r w:rsidRPr="00122056">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122056">
        <w:rPr>
          <w:rFonts w:ascii="Times New Roman" w:hAnsi="Times New Roman" w:cs="Times New Roman"/>
          <w:sz w:val="28"/>
          <w:szCs w:val="28"/>
        </w:rPr>
        <w:t>Протокол от __</w:t>
      </w:r>
      <w:proofErr w:type="gramStart"/>
      <w:r w:rsidRPr="00122056">
        <w:rPr>
          <w:rFonts w:ascii="Times New Roman" w:hAnsi="Times New Roman" w:cs="Times New Roman"/>
          <w:sz w:val="28"/>
          <w:szCs w:val="28"/>
        </w:rPr>
        <w:t>_._</w:t>
      </w:r>
      <w:proofErr w:type="gramEnd"/>
      <w:r w:rsidRPr="00122056">
        <w:rPr>
          <w:rFonts w:ascii="Times New Roman" w:hAnsi="Times New Roman" w:cs="Times New Roman"/>
          <w:sz w:val="28"/>
          <w:szCs w:val="28"/>
        </w:rPr>
        <w:t>___. 20____ г. № _____</w:t>
      </w:r>
    </w:p>
    <w:p w:rsidR="00122056" w:rsidRPr="00122056" w:rsidRDefault="00122056" w:rsidP="00122056">
      <w:pPr>
        <w:spacing w:after="0" w:line="240" w:lineRule="auto"/>
        <w:contextualSpacing/>
        <w:rPr>
          <w:rFonts w:ascii="Times New Roman" w:eastAsia="Calibri" w:hAnsi="Times New Roman" w:cs="Times New Roman"/>
          <w:sz w:val="28"/>
        </w:rPr>
      </w:pPr>
      <w:r>
        <w:rPr>
          <w:rFonts w:ascii="Times New Roman" w:eastAsia="Calibri" w:hAnsi="Times New Roman" w:cs="Times New Roman"/>
          <w:sz w:val="28"/>
        </w:rPr>
        <w:t>трудового коллектива</w:t>
      </w:r>
    </w:p>
    <w:p w:rsidR="00122056" w:rsidRPr="00122056" w:rsidRDefault="00122056" w:rsidP="00122056">
      <w:pPr>
        <w:spacing w:after="0" w:line="240" w:lineRule="auto"/>
        <w:contextualSpacing/>
        <w:rPr>
          <w:rFonts w:ascii="Calibri" w:eastAsia="Calibri" w:hAnsi="Calibri" w:cs="Times New Roman"/>
        </w:rPr>
      </w:pPr>
      <w:r w:rsidRPr="00122056">
        <w:rPr>
          <w:rFonts w:ascii="Times New Roman" w:eastAsia="Calibri" w:hAnsi="Times New Roman" w:cs="Times New Roman"/>
          <w:sz w:val="28"/>
        </w:rPr>
        <w:t>(протокол от ___________№_____)</w:t>
      </w:r>
    </w:p>
    <w:p w:rsidR="002F7CBD" w:rsidRPr="002F7CBD" w:rsidRDefault="002F7CBD" w:rsidP="00122056">
      <w:pPr>
        <w:spacing w:after="0" w:line="276" w:lineRule="auto"/>
        <w:ind w:firstLine="709"/>
        <w:jc w:val="both"/>
        <w:rPr>
          <w:rFonts w:ascii="Times New Roman" w:hAnsi="Times New Roman" w:cs="Times New Roman"/>
          <w:sz w:val="28"/>
          <w:szCs w:val="28"/>
        </w:rPr>
      </w:pPr>
    </w:p>
    <w:sectPr w:rsidR="002F7CBD" w:rsidRPr="002F7CBD" w:rsidSect="00116CCC">
      <w:pgSz w:w="11906" w:h="16838"/>
      <w:pgMar w:top="1134" w:right="851"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EE"/>
    <w:rsid w:val="00116CCC"/>
    <w:rsid w:val="00122056"/>
    <w:rsid w:val="00133C33"/>
    <w:rsid w:val="001E06BA"/>
    <w:rsid w:val="002121F5"/>
    <w:rsid w:val="0024210F"/>
    <w:rsid w:val="002F7CBD"/>
    <w:rsid w:val="0035233C"/>
    <w:rsid w:val="0044041E"/>
    <w:rsid w:val="0056100D"/>
    <w:rsid w:val="0056699D"/>
    <w:rsid w:val="00646781"/>
    <w:rsid w:val="00660987"/>
    <w:rsid w:val="006A2FF1"/>
    <w:rsid w:val="006B5796"/>
    <w:rsid w:val="00727F49"/>
    <w:rsid w:val="00790C02"/>
    <w:rsid w:val="009B39EE"/>
    <w:rsid w:val="00A05C27"/>
    <w:rsid w:val="00A56F19"/>
    <w:rsid w:val="00A971A0"/>
    <w:rsid w:val="00B03C04"/>
    <w:rsid w:val="00B70B4B"/>
    <w:rsid w:val="00B944E1"/>
    <w:rsid w:val="00C00B50"/>
    <w:rsid w:val="00C128B9"/>
    <w:rsid w:val="00C41F9F"/>
    <w:rsid w:val="00C66426"/>
    <w:rsid w:val="00C80A2C"/>
    <w:rsid w:val="00C811EC"/>
    <w:rsid w:val="00DA7C69"/>
    <w:rsid w:val="00DB1AAD"/>
    <w:rsid w:val="00EE28B7"/>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2B49-9062-4E07-80A9-77232285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B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7CB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6A2FF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75063">
      <w:bodyDiv w:val="1"/>
      <w:marLeft w:val="0"/>
      <w:marRight w:val="0"/>
      <w:marTop w:val="0"/>
      <w:marBottom w:val="0"/>
      <w:divBdr>
        <w:top w:val="none" w:sz="0" w:space="0" w:color="auto"/>
        <w:left w:val="none" w:sz="0" w:space="0" w:color="auto"/>
        <w:bottom w:val="none" w:sz="0" w:space="0" w:color="auto"/>
        <w:right w:val="none" w:sz="0" w:space="0" w:color="auto"/>
      </w:divBdr>
    </w:div>
    <w:div w:id="21197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1763</Words>
  <Characters>10054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2021-03-30T08:13:00Z</cp:lastPrinted>
  <dcterms:created xsi:type="dcterms:W3CDTF">2021-12-17T11:16:00Z</dcterms:created>
  <dcterms:modified xsi:type="dcterms:W3CDTF">2021-12-17T11:16:00Z</dcterms:modified>
</cp:coreProperties>
</file>