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567"/>
        <w:gridCol w:w="1986"/>
        <w:gridCol w:w="991"/>
        <w:gridCol w:w="1986"/>
        <w:gridCol w:w="2553"/>
      </w:tblGrid>
      <w:tr w:rsidR="00990A9A" w:rsidTr="00404F0A">
        <w:trPr>
          <w:trHeight w:val="732"/>
        </w:trPr>
        <w:tc>
          <w:tcPr>
            <w:tcW w:w="4505" w:type="dxa"/>
            <w:gridSpan w:val="3"/>
            <w:vMerge w:val="restart"/>
          </w:tcPr>
          <w:p w:rsidR="00990A9A" w:rsidRPr="004C3D01" w:rsidRDefault="00990A9A" w:rsidP="00990A9A">
            <w:pPr>
              <w:jc w:val="center"/>
              <w:rPr>
                <w:b/>
                <w:sz w:val="28"/>
              </w:rPr>
            </w:pPr>
            <w:bookmarkStart w:id="0" w:name="_GoBack"/>
            <w:bookmarkEnd w:id="0"/>
            <w:r>
              <w:rPr>
                <w:b/>
                <w:sz w:val="24"/>
              </w:rPr>
              <w:t>Муниципальное</w:t>
            </w:r>
            <w:r w:rsidRPr="004C3D01">
              <w:rPr>
                <w:b/>
                <w:sz w:val="24"/>
              </w:rPr>
              <w:t xml:space="preserve"> бюджетное дошкольное образовательное учреждение </w:t>
            </w:r>
          </w:p>
          <w:p w:rsidR="00990A9A" w:rsidRPr="004C3D01" w:rsidRDefault="00990A9A" w:rsidP="00990A9A">
            <w:pPr>
              <w:jc w:val="center"/>
              <w:rPr>
                <w:b/>
                <w:sz w:val="24"/>
              </w:rPr>
            </w:pPr>
            <w:r w:rsidRPr="004C3D01">
              <w:rPr>
                <w:b/>
                <w:sz w:val="24"/>
              </w:rPr>
              <w:t>«ДЕТСКИЙ САД № 1 «</w:t>
            </w:r>
            <w:r>
              <w:rPr>
                <w:b/>
                <w:sz w:val="24"/>
              </w:rPr>
              <w:t>РАССВЕТ</w:t>
            </w:r>
            <w:r w:rsidRPr="004C3D01">
              <w:rPr>
                <w:b/>
                <w:sz w:val="24"/>
              </w:rPr>
              <w:t xml:space="preserve">» </w:t>
            </w:r>
          </w:p>
          <w:p w:rsidR="00990A9A" w:rsidRPr="004C3D01" w:rsidRDefault="00990A9A" w:rsidP="00990A9A">
            <w:pPr>
              <w:jc w:val="center"/>
              <w:rPr>
                <w:b/>
                <w:sz w:val="24"/>
              </w:rPr>
            </w:pPr>
            <w:r w:rsidRPr="004C3D01">
              <w:rPr>
                <w:b/>
                <w:sz w:val="24"/>
              </w:rPr>
              <w:t xml:space="preserve">С. </w:t>
            </w:r>
            <w:r>
              <w:rPr>
                <w:b/>
                <w:sz w:val="24"/>
              </w:rPr>
              <w:t>АХКИНЧУ-БОРЗОЙ КУРЧАЛОЕВСКОГО</w:t>
            </w:r>
            <w:r w:rsidRPr="004C3D01">
              <w:rPr>
                <w:b/>
                <w:sz w:val="24"/>
              </w:rPr>
              <w:t xml:space="preserve"> РАЙОНА»</w:t>
            </w:r>
          </w:p>
          <w:p w:rsidR="00990A9A" w:rsidRPr="004C3D01" w:rsidRDefault="00990A9A" w:rsidP="00990A9A">
            <w:pPr>
              <w:jc w:val="center"/>
            </w:pPr>
          </w:p>
          <w:p w:rsidR="00990A9A" w:rsidRPr="004C3D01" w:rsidRDefault="00990A9A" w:rsidP="00990A9A">
            <w:pPr>
              <w:pStyle w:val="a4"/>
              <w:jc w:val="center"/>
              <w:rPr>
                <w:rFonts w:ascii="Times New Roman" w:hAnsi="Times New Roman" w:cs="Times New Roman"/>
                <w:color w:val="000000"/>
                <w:szCs w:val="28"/>
                <w:lang w:eastAsia="en-US"/>
              </w:rPr>
            </w:pPr>
            <w:r w:rsidRPr="004C3D01">
              <w:rPr>
                <w:rFonts w:ascii="Times New Roman" w:hAnsi="Times New Roman" w:cs="Times New Roman"/>
                <w:b/>
                <w:sz w:val="28"/>
                <w:szCs w:val="28"/>
                <w:lang w:eastAsia="en-US"/>
              </w:rPr>
              <w:t>ПОЛОЖЕНИЕ</w:t>
            </w:r>
          </w:p>
        </w:tc>
        <w:tc>
          <w:tcPr>
            <w:tcW w:w="991" w:type="dxa"/>
            <w:vMerge w:val="restart"/>
          </w:tcPr>
          <w:p w:rsidR="00990A9A" w:rsidRPr="004C3D01" w:rsidRDefault="00990A9A" w:rsidP="00990A9A">
            <w:pPr>
              <w:pStyle w:val="a4"/>
              <w:rPr>
                <w:rFonts w:ascii="Times New Roman" w:hAnsi="Times New Roman" w:cs="Times New Roman"/>
                <w:sz w:val="28"/>
                <w:szCs w:val="28"/>
                <w:lang w:eastAsia="en-US"/>
              </w:rPr>
            </w:pPr>
          </w:p>
          <w:p w:rsidR="00990A9A" w:rsidRPr="004C3D01" w:rsidRDefault="00990A9A" w:rsidP="00990A9A">
            <w:pPr>
              <w:pStyle w:val="a4"/>
              <w:rPr>
                <w:rFonts w:ascii="Times New Roman" w:hAnsi="Times New Roman" w:cs="Times New Roman"/>
                <w:sz w:val="28"/>
                <w:szCs w:val="28"/>
                <w:lang w:eastAsia="en-US"/>
              </w:rPr>
            </w:pPr>
          </w:p>
        </w:tc>
        <w:tc>
          <w:tcPr>
            <w:tcW w:w="4539" w:type="dxa"/>
            <w:gridSpan w:val="2"/>
            <w:hideMark/>
          </w:tcPr>
          <w:p w:rsidR="00990A9A" w:rsidRPr="004C3D01" w:rsidRDefault="00990A9A" w:rsidP="00990A9A">
            <w:pPr>
              <w:pStyle w:val="a4"/>
              <w:ind w:right="34"/>
              <w:rPr>
                <w:rFonts w:ascii="Times New Roman" w:hAnsi="Times New Roman" w:cs="Times New Roman"/>
                <w:sz w:val="28"/>
                <w:lang w:eastAsia="en-US"/>
              </w:rPr>
            </w:pPr>
            <w:r w:rsidRPr="004C3D01">
              <w:rPr>
                <w:rFonts w:ascii="Times New Roman" w:hAnsi="Times New Roman" w:cs="Times New Roman"/>
                <w:sz w:val="28"/>
                <w:lang w:eastAsia="en-US"/>
              </w:rPr>
              <w:t>УТВЕРЖДАЮ</w:t>
            </w:r>
          </w:p>
          <w:p w:rsidR="00990A9A" w:rsidRPr="004C3D01" w:rsidRDefault="00990A9A" w:rsidP="00990A9A">
            <w:pPr>
              <w:ind w:right="-108"/>
              <w:rPr>
                <w:sz w:val="28"/>
                <w:szCs w:val="28"/>
              </w:rPr>
            </w:pPr>
            <w:r w:rsidRPr="004C3D01">
              <w:rPr>
                <w:sz w:val="28"/>
              </w:rPr>
              <w:t>Заведующий</w:t>
            </w:r>
          </w:p>
        </w:tc>
      </w:tr>
      <w:tr w:rsidR="00990A9A" w:rsidTr="00404F0A">
        <w:trPr>
          <w:trHeight w:val="292"/>
        </w:trPr>
        <w:tc>
          <w:tcPr>
            <w:tcW w:w="4505" w:type="dxa"/>
            <w:gridSpan w:val="3"/>
            <w:vMerge/>
            <w:vAlign w:val="center"/>
            <w:hideMark/>
          </w:tcPr>
          <w:p w:rsidR="00990A9A" w:rsidRDefault="00990A9A" w:rsidP="00990A9A">
            <w:pPr>
              <w:rPr>
                <w:rFonts w:eastAsiaTheme="minorEastAsia"/>
                <w:color w:val="000000"/>
                <w:sz w:val="24"/>
                <w:szCs w:val="28"/>
              </w:rPr>
            </w:pPr>
          </w:p>
        </w:tc>
        <w:tc>
          <w:tcPr>
            <w:tcW w:w="991" w:type="dxa"/>
            <w:vMerge/>
            <w:vAlign w:val="center"/>
            <w:hideMark/>
          </w:tcPr>
          <w:p w:rsidR="00990A9A" w:rsidRDefault="00990A9A" w:rsidP="00990A9A">
            <w:pPr>
              <w:rPr>
                <w:rFonts w:eastAsiaTheme="minorEastAsia"/>
                <w:sz w:val="28"/>
                <w:szCs w:val="28"/>
              </w:rPr>
            </w:pPr>
          </w:p>
        </w:tc>
        <w:tc>
          <w:tcPr>
            <w:tcW w:w="1986" w:type="dxa"/>
            <w:tcBorders>
              <w:top w:val="nil"/>
              <w:left w:val="nil"/>
              <w:bottom w:val="single" w:sz="4" w:space="0" w:color="auto"/>
              <w:right w:val="nil"/>
            </w:tcBorders>
          </w:tcPr>
          <w:p w:rsidR="00990A9A" w:rsidRDefault="00990A9A" w:rsidP="00990A9A">
            <w:pPr>
              <w:pStyle w:val="a4"/>
              <w:ind w:right="34"/>
              <w:jc w:val="center"/>
              <w:rPr>
                <w:rFonts w:ascii="Times New Roman" w:hAnsi="Times New Roman" w:cs="Times New Roman"/>
                <w:i/>
                <w:sz w:val="28"/>
                <w:lang w:eastAsia="en-US"/>
              </w:rPr>
            </w:pPr>
          </w:p>
        </w:tc>
        <w:tc>
          <w:tcPr>
            <w:tcW w:w="2553" w:type="dxa"/>
            <w:vMerge w:val="restart"/>
            <w:hideMark/>
          </w:tcPr>
          <w:p w:rsidR="00990A9A" w:rsidRDefault="00990A9A" w:rsidP="00990A9A">
            <w:pPr>
              <w:pStyle w:val="a4"/>
              <w:ind w:right="34"/>
              <w:rPr>
                <w:rFonts w:ascii="Times New Roman" w:hAnsi="Times New Roman" w:cs="Times New Roman"/>
                <w:sz w:val="28"/>
                <w:lang w:eastAsia="en-US"/>
              </w:rPr>
            </w:pPr>
            <w:proofErr w:type="spellStart"/>
            <w:r>
              <w:rPr>
                <w:rFonts w:ascii="Times New Roman" w:hAnsi="Times New Roman" w:cs="Times New Roman"/>
                <w:sz w:val="28"/>
                <w:lang w:eastAsia="en-US"/>
              </w:rPr>
              <w:t>Х.А.Берсанова</w:t>
            </w:r>
            <w:proofErr w:type="spellEnd"/>
          </w:p>
        </w:tc>
      </w:tr>
      <w:tr w:rsidR="00990A9A" w:rsidTr="00404F0A">
        <w:trPr>
          <w:trHeight w:val="70"/>
        </w:trPr>
        <w:tc>
          <w:tcPr>
            <w:tcW w:w="4505" w:type="dxa"/>
            <w:gridSpan w:val="3"/>
            <w:vMerge/>
            <w:vAlign w:val="center"/>
            <w:hideMark/>
          </w:tcPr>
          <w:p w:rsidR="00990A9A" w:rsidRDefault="00990A9A" w:rsidP="00990A9A">
            <w:pPr>
              <w:rPr>
                <w:rFonts w:eastAsiaTheme="minorEastAsia"/>
                <w:color w:val="000000"/>
                <w:sz w:val="24"/>
                <w:szCs w:val="28"/>
              </w:rPr>
            </w:pPr>
          </w:p>
        </w:tc>
        <w:tc>
          <w:tcPr>
            <w:tcW w:w="991" w:type="dxa"/>
            <w:vMerge/>
            <w:vAlign w:val="center"/>
            <w:hideMark/>
          </w:tcPr>
          <w:p w:rsidR="00990A9A" w:rsidRDefault="00990A9A" w:rsidP="00990A9A">
            <w:pPr>
              <w:rPr>
                <w:rFonts w:eastAsiaTheme="minorEastAsia"/>
                <w:sz w:val="28"/>
                <w:szCs w:val="28"/>
              </w:rPr>
            </w:pPr>
          </w:p>
        </w:tc>
        <w:tc>
          <w:tcPr>
            <w:tcW w:w="1986" w:type="dxa"/>
            <w:tcBorders>
              <w:top w:val="single" w:sz="4" w:space="0" w:color="auto"/>
              <w:left w:val="nil"/>
              <w:bottom w:val="nil"/>
              <w:right w:val="nil"/>
            </w:tcBorders>
            <w:hideMark/>
          </w:tcPr>
          <w:p w:rsidR="00990A9A" w:rsidRDefault="00990A9A" w:rsidP="00990A9A">
            <w:pPr>
              <w:pStyle w:val="a4"/>
              <w:ind w:right="34"/>
              <w:rPr>
                <w:rFonts w:ascii="Times New Roman" w:hAnsi="Times New Roman" w:cs="Times New Roman"/>
                <w:i/>
                <w:sz w:val="28"/>
                <w:lang w:eastAsia="en-US"/>
              </w:rPr>
            </w:pPr>
            <w:r>
              <w:rPr>
                <w:rFonts w:ascii="Times New Roman" w:hAnsi="Times New Roman" w:cs="Times New Roman"/>
                <w:sz w:val="28"/>
                <w:lang w:eastAsia="en-US"/>
              </w:rPr>
              <w:t>____________</w:t>
            </w:r>
          </w:p>
        </w:tc>
        <w:tc>
          <w:tcPr>
            <w:tcW w:w="2553" w:type="dxa"/>
            <w:vMerge/>
            <w:vAlign w:val="center"/>
            <w:hideMark/>
          </w:tcPr>
          <w:p w:rsidR="00990A9A" w:rsidRDefault="00990A9A" w:rsidP="00990A9A">
            <w:pPr>
              <w:rPr>
                <w:rFonts w:eastAsiaTheme="minorEastAsia"/>
                <w:sz w:val="28"/>
                <w:szCs w:val="24"/>
              </w:rPr>
            </w:pPr>
          </w:p>
        </w:tc>
      </w:tr>
      <w:tr w:rsidR="00990A9A" w:rsidTr="00404F0A">
        <w:trPr>
          <w:trHeight w:val="276"/>
        </w:trPr>
        <w:tc>
          <w:tcPr>
            <w:tcW w:w="4505" w:type="dxa"/>
            <w:gridSpan w:val="3"/>
            <w:vMerge/>
            <w:vAlign w:val="center"/>
            <w:hideMark/>
          </w:tcPr>
          <w:p w:rsidR="00990A9A" w:rsidRDefault="00990A9A" w:rsidP="00990A9A">
            <w:pPr>
              <w:rPr>
                <w:rFonts w:eastAsiaTheme="minorEastAsia"/>
                <w:color w:val="000000"/>
                <w:sz w:val="24"/>
                <w:szCs w:val="28"/>
              </w:rPr>
            </w:pPr>
          </w:p>
        </w:tc>
        <w:tc>
          <w:tcPr>
            <w:tcW w:w="991" w:type="dxa"/>
            <w:vMerge/>
            <w:vAlign w:val="center"/>
            <w:hideMark/>
          </w:tcPr>
          <w:p w:rsidR="00990A9A" w:rsidRDefault="00990A9A" w:rsidP="00990A9A">
            <w:pPr>
              <w:rPr>
                <w:rFonts w:eastAsiaTheme="minorEastAsia"/>
                <w:sz w:val="28"/>
                <w:szCs w:val="28"/>
              </w:rPr>
            </w:pPr>
          </w:p>
        </w:tc>
        <w:tc>
          <w:tcPr>
            <w:tcW w:w="4539" w:type="dxa"/>
            <w:gridSpan w:val="2"/>
            <w:vMerge w:val="restart"/>
          </w:tcPr>
          <w:p w:rsidR="00990A9A" w:rsidRDefault="00990A9A" w:rsidP="00990A9A">
            <w:pPr>
              <w:pStyle w:val="a4"/>
              <w:spacing w:line="254" w:lineRule="auto"/>
              <w:rPr>
                <w:rFonts w:ascii="Times New Roman" w:hAnsi="Times New Roman" w:cs="Times New Roman"/>
                <w:sz w:val="28"/>
                <w:lang w:eastAsia="en-US"/>
              </w:rPr>
            </w:pPr>
          </w:p>
          <w:p w:rsidR="00990A9A" w:rsidRDefault="00990A9A" w:rsidP="00990A9A">
            <w:pPr>
              <w:pStyle w:val="a4"/>
              <w:rPr>
                <w:rFonts w:ascii="Times New Roman" w:hAnsi="Times New Roman" w:cs="Times New Roman"/>
                <w:sz w:val="28"/>
                <w:lang w:eastAsia="en-US"/>
              </w:rPr>
            </w:pPr>
          </w:p>
        </w:tc>
      </w:tr>
      <w:tr w:rsidR="00990A9A" w:rsidTr="003776E9">
        <w:tc>
          <w:tcPr>
            <w:tcW w:w="1952" w:type="dxa"/>
            <w:tcBorders>
              <w:top w:val="nil"/>
              <w:left w:val="nil"/>
              <w:bottom w:val="single" w:sz="4" w:space="0" w:color="auto"/>
              <w:right w:val="nil"/>
            </w:tcBorders>
            <w:vAlign w:val="center"/>
            <w:hideMark/>
          </w:tcPr>
          <w:p w:rsidR="00990A9A" w:rsidRDefault="00990A9A" w:rsidP="00990A9A">
            <w:pPr>
              <w:pStyle w:val="a4"/>
              <w:spacing w:line="254" w:lineRule="auto"/>
              <w:jc w:val="center"/>
              <w:rPr>
                <w:rFonts w:ascii="Times New Roman" w:hAnsi="Times New Roman" w:cs="Times New Roman"/>
                <w:sz w:val="28"/>
                <w:szCs w:val="28"/>
                <w:lang w:eastAsia="en-US"/>
              </w:rPr>
            </w:pPr>
          </w:p>
        </w:tc>
        <w:tc>
          <w:tcPr>
            <w:tcW w:w="567" w:type="dxa"/>
            <w:vAlign w:val="center"/>
            <w:hideMark/>
          </w:tcPr>
          <w:p w:rsidR="00990A9A" w:rsidRDefault="00990A9A" w:rsidP="00990A9A">
            <w:pPr>
              <w:rPr>
                <w:sz w:val="28"/>
                <w:szCs w:val="28"/>
              </w:rPr>
            </w:pPr>
          </w:p>
        </w:tc>
        <w:tc>
          <w:tcPr>
            <w:tcW w:w="1986" w:type="dxa"/>
            <w:tcBorders>
              <w:top w:val="nil"/>
              <w:left w:val="nil"/>
              <w:bottom w:val="single" w:sz="4" w:space="0" w:color="auto"/>
              <w:right w:val="nil"/>
            </w:tcBorders>
            <w:vAlign w:val="center"/>
          </w:tcPr>
          <w:p w:rsidR="00990A9A" w:rsidRDefault="00990A9A" w:rsidP="00990A9A">
            <w:pPr>
              <w:rPr>
                <w:sz w:val="28"/>
                <w:szCs w:val="24"/>
              </w:rPr>
            </w:pPr>
          </w:p>
        </w:tc>
        <w:tc>
          <w:tcPr>
            <w:tcW w:w="991" w:type="dxa"/>
            <w:vMerge/>
            <w:vAlign w:val="center"/>
            <w:hideMark/>
          </w:tcPr>
          <w:p w:rsidR="00990A9A" w:rsidRDefault="00990A9A" w:rsidP="00990A9A">
            <w:pPr>
              <w:rPr>
                <w:rFonts w:eastAsiaTheme="minorEastAsia"/>
                <w:sz w:val="28"/>
                <w:szCs w:val="28"/>
              </w:rPr>
            </w:pPr>
          </w:p>
        </w:tc>
        <w:tc>
          <w:tcPr>
            <w:tcW w:w="4539" w:type="dxa"/>
            <w:gridSpan w:val="2"/>
            <w:vMerge/>
            <w:vAlign w:val="center"/>
            <w:hideMark/>
          </w:tcPr>
          <w:p w:rsidR="00990A9A" w:rsidRDefault="00990A9A" w:rsidP="00990A9A">
            <w:pPr>
              <w:rPr>
                <w:rFonts w:eastAsiaTheme="minorEastAsia"/>
                <w:sz w:val="28"/>
                <w:szCs w:val="24"/>
              </w:rPr>
            </w:pPr>
          </w:p>
        </w:tc>
      </w:tr>
      <w:tr w:rsidR="00990A9A" w:rsidTr="00404F0A">
        <w:tc>
          <w:tcPr>
            <w:tcW w:w="4505" w:type="dxa"/>
            <w:gridSpan w:val="3"/>
          </w:tcPr>
          <w:p w:rsidR="00990A9A" w:rsidRDefault="00990A9A" w:rsidP="00990A9A">
            <w:pPr>
              <w:pStyle w:val="a4"/>
              <w:jc w:val="center"/>
              <w:rPr>
                <w:rFonts w:ascii="Times New Roman" w:hAnsi="Times New Roman" w:cs="Times New Roman"/>
                <w:sz w:val="28"/>
                <w:szCs w:val="28"/>
                <w:lang w:eastAsia="en-US"/>
              </w:rPr>
            </w:pPr>
          </w:p>
        </w:tc>
        <w:tc>
          <w:tcPr>
            <w:tcW w:w="991" w:type="dxa"/>
            <w:vMerge/>
            <w:vAlign w:val="center"/>
            <w:hideMark/>
          </w:tcPr>
          <w:p w:rsidR="00990A9A" w:rsidRDefault="00990A9A" w:rsidP="00990A9A">
            <w:pPr>
              <w:rPr>
                <w:rFonts w:eastAsiaTheme="minorEastAsia"/>
                <w:sz w:val="28"/>
                <w:szCs w:val="28"/>
              </w:rPr>
            </w:pPr>
          </w:p>
        </w:tc>
        <w:tc>
          <w:tcPr>
            <w:tcW w:w="4539" w:type="dxa"/>
            <w:gridSpan w:val="2"/>
            <w:vMerge/>
            <w:vAlign w:val="center"/>
            <w:hideMark/>
          </w:tcPr>
          <w:p w:rsidR="00990A9A" w:rsidRDefault="00990A9A" w:rsidP="00990A9A">
            <w:pPr>
              <w:rPr>
                <w:rFonts w:eastAsiaTheme="minorEastAsia"/>
                <w:sz w:val="28"/>
                <w:szCs w:val="24"/>
              </w:rPr>
            </w:pPr>
          </w:p>
        </w:tc>
      </w:tr>
      <w:tr w:rsidR="00990A9A" w:rsidTr="00404F0A">
        <w:trPr>
          <w:trHeight w:val="1347"/>
        </w:trPr>
        <w:tc>
          <w:tcPr>
            <w:tcW w:w="4505" w:type="dxa"/>
            <w:gridSpan w:val="3"/>
            <w:hideMark/>
          </w:tcPr>
          <w:p w:rsidR="00990A9A" w:rsidRPr="004C3D01" w:rsidRDefault="00990A9A" w:rsidP="00990A9A">
            <w:pPr>
              <w:autoSpaceDE w:val="0"/>
              <w:autoSpaceDN w:val="0"/>
              <w:adjustRightInd w:val="0"/>
              <w:rPr>
                <w:b/>
                <w:color w:val="000000"/>
                <w:sz w:val="28"/>
                <w:szCs w:val="32"/>
                <w:lang w:eastAsia="ru-RU"/>
              </w:rPr>
            </w:pPr>
            <w:r>
              <w:rPr>
                <w:b/>
                <w:color w:val="000000"/>
                <w:sz w:val="28"/>
                <w:szCs w:val="32"/>
              </w:rPr>
              <w:t xml:space="preserve">О </w:t>
            </w:r>
            <w:proofErr w:type="spellStart"/>
            <w:r>
              <w:rPr>
                <w:b/>
                <w:color w:val="000000"/>
                <w:sz w:val="28"/>
                <w:szCs w:val="32"/>
              </w:rPr>
              <w:t>бракеражной</w:t>
            </w:r>
            <w:proofErr w:type="spellEnd"/>
            <w:r>
              <w:rPr>
                <w:b/>
                <w:color w:val="000000"/>
                <w:sz w:val="28"/>
                <w:szCs w:val="32"/>
              </w:rPr>
              <w:t xml:space="preserve"> комиссии</w:t>
            </w:r>
          </w:p>
          <w:p w:rsidR="00990A9A" w:rsidRDefault="00990A9A" w:rsidP="00990A9A">
            <w:pPr>
              <w:rPr>
                <w:rFonts w:eastAsia="Verdana"/>
                <w:b/>
                <w:iCs/>
                <w:sz w:val="28"/>
                <w:szCs w:val="28"/>
                <w:lang w:bidi="en-US"/>
              </w:rPr>
            </w:pPr>
            <w:r>
              <w:rPr>
                <w:b/>
                <w:sz w:val="28"/>
                <w:szCs w:val="28"/>
              </w:rPr>
              <w:t>М</w:t>
            </w:r>
            <w:r w:rsidRPr="004C3D01">
              <w:rPr>
                <w:b/>
                <w:sz w:val="28"/>
                <w:szCs w:val="28"/>
              </w:rPr>
              <w:t xml:space="preserve">БДОУ </w:t>
            </w:r>
            <w:r w:rsidRPr="004C3D01">
              <w:rPr>
                <w:rFonts w:eastAsia="Verdana"/>
                <w:b/>
                <w:iCs/>
                <w:sz w:val="28"/>
                <w:szCs w:val="28"/>
                <w:lang w:bidi="en-US"/>
              </w:rPr>
              <w:t>«Детский сад № 1 «</w:t>
            </w:r>
            <w:proofErr w:type="gramStart"/>
            <w:r>
              <w:rPr>
                <w:rFonts w:eastAsia="Verdana"/>
                <w:b/>
                <w:iCs/>
                <w:sz w:val="28"/>
                <w:szCs w:val="28"/>
                <w:lang w:bidi="en-US"/>
              </w:rPr>
              <w:t>Рассвет</w:t>
            </w:r>
            <w:r w:rsidRPr="004C3D01">
              <w:rPr>
                <w:rFonts w:eastAsia="Verdana"/>
                <w:b/>
                <w:iCs/>
                <w:sz w:val="28"/>
                <w:szCs w:val="28"/>
                <w:lang w:bidi="en-US"/>
              </w:rPr>
              <w:t>»  с.</w:t>
            </w:r>
            <w:proofErr w:type="gramEnd"/>
            <w:r w:rsidRPr="004C3D01">
              <w:rPr>
                <w:rFonts w:eastAsia="Verdana"/>
                <w:b/>
                <w:iCs/>
                <w:sz w:val="28"/>
                <w:szCs w:val="28"/>
                <w:lang w:bidi="en-US"/>
              </w:rPr>
              <w:t xml:space="preserve"> </w:t>
            </w:r>
            <w:proofErr w:type="spellStart"/>
            <w:r>
              <w:rPr>
                <w:rFonts w:eastAsia="Verdana"/>
                <w:b/>
                <w:iCs/>
                <w:sz w:val="28"/>
                <w:szCs w:val="28"/>
                <w:lang w:bidi="en-US"/>
              </w:rPr>
              <w:t>Ахкинчу</w:t>
            </w:r>
            <w:proofErr w:type="spellEnd"/>
            <w:r>
              <w:rPr>
                <w:rFonts w:eastAsia="Verdana"/>
                <w:b/>
                <w:iCs/>
                <w:sz w:val="28"/>
                <w:szCs w:val="28"/>
                <w:lang w:bidi="en-US"/>
              </w:rPr>
              <w:t>-Борзой</w:t>
            </w:r>
          </w:p>
          <w:p w:rsidR="00990A9A" w:rsidRDefault="00990A9A" w:rsidP="00990A9A">
            <w:pPr>
              <w:rPr>
                <w:rFonts w:eastAsia="Calibri"/>
                <w:b/>
                <w:bCs/>
                <w:color w:val="000000" w:themeColor="text1"/>
                <w:sz w:val="28"/>
                <w:szCs w:val="28"/>
                <w:bdr w:val="none" w:sz="0" w:space="0" w:color="auto" w:frame="1"/>
                <w:lang w:eastAsia="ru-RU"/>
              </w:rPr>
            </w:pPr>
          </w:p>
        </w:tc>
        <w:tc>
          <w:tcPr>
            <w:tcW w:w="991" w:type="dxa"/>
            <w:vMerge/>
            <w:vAlign w:val="center"/>
            <w:hideMark/>
          </w:tcPr>
          <w:p w:rsidR="00990A9A" w:rsidRDefault="00990A9A" w:rsidP="00990A9A">
            <w:pPr>
              <w:rPr>
                <w:rFonts w:eastAsiaTheme="minorEastAsia"/>
                <w:sz w:val="28"/>
                <w:szCs w:val="28"/>
              </w:rPr>
            </w:pPr>
          </w:p>
        </w:tc>
        <w:tc>
          <w:tcPr>
            <w:tcW w:w="4539" w:type="dxa"/>
            <w:gridSpan w:val="2"/>
            <w:vMerge/>
            <w:vAlign w:val="center"/>
            <w:hideMark/>
          </w:tcPr>
          <w:p w:rsidR="00990A9A" w:rsidRDefault="00990A9A" w:rsidP="00990A9A">
            <w:pPr>
              <w:rPr>
                <w:rFonts w:eastAsiaTheme="minorEastAsia"/>
                <w:sz w:val="28"/>
                <w:szCs w:val="24"/>
              </w:rPr>
            </w:pPr>
          </w:p>
        </w:tc>
      </w:tr>
      <w:tr w:rsidR="00990A9A" w:rsidTr="00404F0A">
        <w:trPr>
          <w:trHeight w:val="150"/>
        </w:trPr>
        <w:tc>
          <w:tcPr>
            <w:tcW w:w="4505" w:type="dxa"/>
            <w:gridSpan w:val="3"/>
            <w:hideMark/>
          </w:tcPr>
          <w:p w:rsidR="00990A9A" w:rsidRPr="004C3D01" w:rsidRDefault="00990A9A" w:rsidP="00990A9A">
            <w:pPr>
              <w:rPr>
                <w:b/>
                <w:sz w:val="28"/>
                <w:szCs w:val="28"/>
              </w:rPr>
            </w:pPr>
            <w:r w:rsidRPr="004C3D01">
              <w:rPr>
                <w:sz w:val="28"/>
                <w:szCs w:val="28"/>
              </w:rPr>
              <w:t xml:space="preserve">с. </w:t>
            </w:r>
            <w:proofErr w:type="spellStart"/>
            <w:r>
              <w:rPr>
                <w:sz w:val="28"/>
                <w:szCs w:val="28"/>
              </w:rPr>
              <w:t>Ахкинчу</w:t>
            </w:r>
            <w:proofErr w:type="spellEnd"/>
            <w:r>
              <w:rPr>
                <w:sz w:val="28"/>
                <w:szCs w:val="28"/>
              </w:rPr>
              <w:t>-Борзой</w:t>
            </w:r>
          </w:p>
        </w:tc>
        <w:tc>
          <w:tcPr>
            <w:tcW w:w="991" w:type="dxa"/>
          </w:tcPr>
          <w:p w:rsidR="00990A9A" w:rsidRPr="004C3D01" w:rsidRDefault="00990A9A" w:rsidP="00990A9A">
            <w:pPr>
              <w:pStyle w:val="a4"/>
              <w:rPr>
                <w:rFonts w:ascii="Times New Roman" w:hAnsi="Times New Roman" w:cs="Times New Roman"/>
                <w:sz w:val="28"/>
                <w:szCs w:val="28"/>
                <w:lang w:eastAsia="en-US"/>
              </w:rPr>
            </w:pPr>
          </w:p>
        </w:tc>
        <w:tc>
          <w:tcPr>
            <w:tcW w:w="4539" w:type="dxa"/>
            <w:gridSpan w:val="2"/>
          </w:tcPr>
          <w:p w:rsidR="00990A9A" w:rsidRPr="004C3D01" w:rsidRDefault="00990A9A" w:rsidP="00990A9A">
            <w:pPr>
              <w:pStyle w:val="a4"/>
              <w:ind w:left="-108"/>
              <w:rPr>
                <w:rFonts w:ascii="Times New Roman" w:hAnsi="Times New Roman" w:cs="Times New Roman"/>
                <w:sz w:val="28"/>
                <w:szCs w:val="28"/>
                <w:lang w:eastAsia="en-US"/>
              </w:rPr>
            </w:pPr>
          </w:p>
        </w:tc>
      </w:tr>
      <w:tr w:rsidR="00990A9A" w:rsidTr="00404F0A">
        <w:tc>
          <w:tcPr>
            <w:tcW w:w="4505" w:type="dxa"/>
            <w:gridSpan w:val="3"/>
          </w:tcPr>
          <w:p w:rsidR="00990A9A" w:rsidRDefault="00990A9A" w:rsidP="00990A9A">
            <w:pPr>
              <w:pStyle w:val="a4"/>
              <w:rPr>
                <w:rFonts w:ascii="Times New Roman" w:hAnsi="Times New Roman" w:cs="Times New Roman"/>
                <w:sz w:val="28"/>
                <w:szCs w:val="28"/>
                <w:lang w:eastAsia="en-US"/>
              </w:rPr>
            </w:pPr>
          </w:p>
        </w:tc>
        <w:tc>
          <w:tcPr>
            <w:tcW w:w="991" w:type="dxa"/>
          </w:tcPr>
          <w:p w:rsidR="00990A9A" w:rsidRDefault="00990A9A" w:rsidP="00990A9A">
            <w:pPr>
              <w:pStyle w:val="a4"/>
              <w:rPr>
                <w:rFonts w:ascii="Times New Roman" w:hAnsi="Times New Roman" w:cs="Times New Roman"/>
                <w:sz w:val="28"/>
                <w:szCs w:val="28"/>
                <w:lang w:eastAsia="en-US"/>
              </w:rPr>
            </w:pPr>
          </w:p>
        </w:tc>
        <w:tc>
          <w:tcPr>
            <w:tcW w:w="4539" w:type="dxa"/>
            <w:gridSpan w:val="2"/>
          </w:tcPr>
          <w:p w:rsidR="00990A9A" w:rsidRDefault="00990A9A" w:rsidP="00990A9A">
            <w:pPr>
              <w:pStyle w:val="a4"/>
              <w:ind w:left="-108"/>
              <w:rPr>
                <w:rFonts w:ascii="Times New Roman" w:hAnsi="Times New Roman" w:cs="Times New Roman"/>
                <w:sz w:val="28"/>
                <w:szCs w:val="28"/>
                <w:lang w:eastAsia="en-US"/>
              </w:rPr>
            </w:pPr>
          </w:p>
        </w:tc>
      </w:tr>
    </w:tbl>
    <w:p w:rsidR="00A10CD7" w:rsidRDefault="00A10CD7" w:rsidP="00A10C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90C02" w:rsidRDefault="00790C02" w:rsidP="00A10CD7">
      <w:pPr>
        <w:spacing w:after="0" w:line="276" w:lineRule="auto"/>
        <w:ind w:firstLine="709"/>
        <w:jc w:val="both"/>
        <w:rPr>
          <w:rFonts w:ascii="Times New Roman" w:hAnsi="Times New Roman" w:cs="Times New Roman"/>
          <w:sz w:val="28"/>
          <w:szCs w:val="28"/>
        </w:rPr>
      </w:pPr>
    </w:p>
    <w:p w:rsidR="00A10CD7" w:rsidRPr="00404F0A" w:rsidRDefault="00A10CD7" w:rsidP="00A10CD7">
      <w:pPr>
        <w:spacing w:after="0" w:line="276" w:lineRule="auto"/>
        <w:ind w:firstLine="709"/>
        <w:jc w:val="center"/>
        <w:rPr>
          <w:rFonts w:ascii="Times New Roman" w:hAnsi="Times New Roman" w:cs="Times New Roman"/>
          <w:b/>
          <w:sz w:val="28"/>
          <w:szCs w:val="28"/>
        </w:rPr>
      </w:pPr>
      <w:r w:rsidRPr="00404F0A">
        <w:rPr>
          <w:rFonts w:ascii="Times New Roman" w:hAnsi="Times New Roman" w:cs="Times New Roman"/>
          <w:b/>
          <w:sz w:val="28"/>
          <w:szCs w:val="28"/>
        </w:rPr>
        <w:t>1. Общие положения</w:t>
      </w:r>
    </w:p>
    <w:p w:rsid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1.1. Данное Положение о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 ДОУ (детском саду) разработано в соответствии с Федеральным законом № 273-ФЗ от 29.12.2012 «Об образовании в Российской Федерации» с изменениями от 8 декабря 2020 года,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с изменениями на 13 июля 2020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1.2. Настоящее Положение о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 ДОУ определяет цель, задачи и функции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дошкольного образовательного учреждения, регламентирует ее деятельность, устанавливает права и обязанности, а также ответственность ее членов.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1.3.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(далее – комиссия) — комиссия общественного контроля учреждения, созданная в целях осуществления качественного и систематического контроля организации питания детей, </w:t>
      </w:r>
      <w:r w:rsidRPr="00A10CD7">
        <w:rPr>
          <w:rFonts w:ascii="Times New Roman" w:hAnsi="Times New Roman" w:cs="Times New Roman"/>
          <w:sz w:val="28"/>
          <w:szCs w:val="28"/>
        </w:rPr>
        <w:lastRenderedPageBreak/>
        <w:t xml:space="preserve">контроля качества доставляемых продуктов и соблюдения санитарно-гигиенических требований при приготовлении и раздаче пищи в детском саду.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1.4.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в своей деятельности руководствуется сборниками рецептур, технологическими картами, ГОСТами.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1.5. В задачи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входит:</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и качество приготовления блюд;</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качеством доставляемых продуктов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соблюдением санитарно-гигиенических требований при приготовлении и раздаче пищи в детском саду.</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1.6. Состав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1.7.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состоит из не менее 3 человек. В состав комиссии могут входить:</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представитель администрации: заведующий ДОУ или его заместитель (председатель комиссии);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старшая медсестра (диетсестра);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педагогические сотрудники;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повара;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член профсоюзного комитета детского сада;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представитель родительской общественности ДОУ.</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В необходимых случаях в состав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могут быть включены другие работники учреждения, приглашенные специалисты. 1.8.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работает в тесном контакте с администрацией и профсоюзным комитетом дошкольного образовательного учреждения. 1.9. Члены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работают на добровольной основе. 1.10. Администрация ДОУ при установлении стимулирующих надбавок к должностным окладам работников, либо при премировании вправе учитывать работу членов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w:t>
      </w:r>
    </w:p>
    <w:p w:rsidR="00A10CD7" w:rsidRPr="00404F0A" w:rsidRDefault="00A10CD7" w:rsidP="00A10CD7">
      <w:pPr>
        <w:spacing w:after="0" w:line="276" w:lineRule="auto"/>
        <w:ind w:firstLine="709"/>
        <w:jc w:val="both"/>
        <w:rPr>
          <w:rFonts w:ascii="Times New Roman" w:hAnsi="Times New Roman" w:cs="Times New Roman"/>
          <w:b/>
          <w:sz w:val="28"/>
          <w:szCs w:val="28"/>
        </w:rPr>
      </w:pPr>
    </w:p>
    <w:p w:rsidR="00A10CD7" w:rsidRPr="00404F0A" w:rsidRDefault="00A10CD7" w:rsidP="00A10CD7">
      <w:pPr>
        <w:spacing w:after="0" w:line="276" w:lineRule="auto"/>
        <w:ind w:firstLine="709"/>
        <w:jc w:val="center"/>
        <w:rPr>
          <w:rFonts w:ascii="Times New Roman" w:hAnsi="Times New Roman" w:cs="Times New Roman"/>
          <w:b/>
          <w:sz w:val="28"/>
          <w:szCs w:val="28"/>
        </w:rPr>
      </w:pPr>
      <w:r w:rsidRPr="00404F0A">
        <w:rPr>
          <w:rFonts w:ascii="Times New Roman" w:hAnsi="Times New Roman" w:cs="Times New Roman"/>
          <w:b/>
          <w:sz w:val="28"/>
          <w:szCs w:val="28"/>
        </w:rPr>
        <w:t xml:space="preserve">2. Функции </w:t>
      </w:r>
      <w:proofErr w:type="spellStart"/>
      <w:r w:rsidRPr="00404F0A">
        <w:rPr>
          <w:rFonts w:ascii="Times New Roman" w:hAnsi="Times New Roman" w:cs="Times New Roman"/>
          <w:b/>
          <w:sz w:val="28"/>
          <w:szCs w:val="28"/>
        </w:rPr>
        <w:t>бракеражной</w:t>
      </w:r>
      <w:proofErr w:type="spellEnd"/>
      <w:r w:rsidRPr="00404F0A">
        <w:rPr>
          <w:rFonts w:ascii="Times New Roman" w:hAnsi="Times New Roman" w:cs="Times New Roman"/>
          <w:b/>
          <w:sz w:val="28"/>
          <w:szCs w:val="28"/>
        </w:rPr>
        <w:t xml:space="preserve"> комиссии</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2.1. К основным функциям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 детском саду относят:</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соблюдением санитарно-гигиенических норм при транспортировке, доставке и разгрузке продуктов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проверка на пригодность складских и других помещений, предназначенных для хранения продуктов питания, а также соблюдения </w:t>
      </w:r>
      <w:r w:rsidRPr="00A10CD7">
        <w:rPr>
          <w:rFonts w:ascii="Times New Roman" w:hAnsi="Times New Roman" w:cs="Times New Roman"/>
          <w:sz w:val="28"/>
          <w:szCs w:val="28"/>
        </w:rPr>
        <w:lastRenderedPageBreak/>
        <w:t>правил и условий их хранения согласно признакам доброкачественности продуктов Приложения 1;</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проверка соответствия пищи физиологическим потребностям детей в основных пищевых веществах;</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проверка соответствия объемов приготовленного питания объему разовых порций и количеству детей;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организации работы на пищеблоке;</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ежедневное отслеживание за правильностью составления меню-раскладок;</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наблюдение за соблюдением правил личной гигиены работниками пищеблока;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осуществление контроля за сроками реализации продуктов питания и качеством приготовления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направление при необходимости продукции на исследование в санитарно-технологическую пищевую лабораторию;</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проведение органолептической оценки готовой пищи, т.е. определение ее цвета, запаха, вкуса, консистенции, жесткости, сочности и т.д. (Приложение 2).</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2.2.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2.3. Комиссия периодически, но не реже одного раза в месяц, осуществляет контроль над закладкой основных продуктов и выхода готовых блюд. Результаты проверки отмечают в журнале контроля над закладкой основных продуктов и заверяют оценку личными подписями членов комиссии.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2.4. Комиссия составляет акты на списание продуктов, невостребованных порций, оставшихся по причине отсутствия детей.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2.5. При выявлении нарушений комиссия составляет акт за подписью всех членов.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2.6. Комиссия осуществляет контроль над процессом приема пищи детьми: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создание благоприятной атмосферы приема пищи (спокойное музыкальное сопровождение, знакомство с блюдом, сервировка стола);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оценка качества приготовления блюда детьми (количество оставшейся несъеденной пищи, причина).</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lastRenderedPageBreak/>
        <w:t xml:space="preserve">2.7. Комиссия вносит предложения по улучшению питания детей в дошкольном образовательном учреждении.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2.8. 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Pr="00404F0A" w:rsidRDefault="00A10CD7" w:rsidP="00A10CD7">
      <w:pPr>
        <w:spacing w:after="0" w:line="276" w:lineRule="auto"/>
        <w:ind w:firstLine="709"/>
        <w:jc w:val="center"/>
        <w:rPr>
          <w:rFonts w:ascii="Times New Roman" w:hAnsi="Times New Roman" w:cs="Times New Roman"/>
          <w:b/>
          <w:sz w:val="28"/>
          <w:szCs w:val="28"/>
        </w:rPr>
      </w:pPr>
      <w:r w:rsidRPr="00404F0A">
        <w:rPr>
          <w:rFonts w:ascii="Times New Roman" w:hAnsi="Times New Roman" w:cs="Times New Roman"/>
          <w:b/>
          <w:sz w:val="28"/>
          <w:szCs w:val="28"/>
        </w:rPr>
        <w:t>3. Оценка организации питания в ДОУ</w:t>
      </w:r>
    </w:p>
    <w:p w:rsid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в полном составе ежедневно приходит на снятие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пробы за 30 минут до начала раздачи готовой пищи, предварительно ознакомившись с меню требованием.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3.3. </w:t>
      </w:r>
      <w:proofErr w:type="spellStart"/>
      <w:r w:rsidRPr="00A10CD7">
        <w:rPr>
          <w:rFonts w:ascii="Times New Roman" w:hAnsi="Times New Roman" w:cs="Times New Roman"/>
          <w:sz w:val="28"/>
          <w:szCs w:val="28"/>
        </w:rPr>
        <w:t>Бракеражную</w:t>
      </w:r>
      <w:proofErr w:type="spellEnd"/>
      <w:r w:rsidRPr="00A10CD7">
        <w:rPr>
          <w:rFonts w:ascii="Times New Roman" w:hAnsi="Times New Roman" w:cs="Times New Roman"/>
          <w:sz w:val="28"/>
          <w:szCs w:val="28"/>
        </w:rPr>
        <w:t xml:space="preserve"> пробу берут из общего котла (кастрюли), предварительно перемешав тщательно пищу в котле.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3.5. Результаты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пробы заносятся в Журнал бракеража готовой кулинарной продукции. Журнал должен быть прошнурован, пронумерован и скреплен печатью: хранится у медицинской сестры.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lastRenderedPageBreak/>
        <w:t xml:space="preserve">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ставит свои подписи напротив выставленной оценки под записью «К раздаче не допускаю».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3.11. Оценка качества блюд и кулинарных изделий заносится в журнал установленной формы и оформляется подписями всех членов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3.12. Оценка качества блюд и кулинарных изделий «удовлетворительно», «неудовлетворительно», данная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3.13.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проверяет наличие контрольного блюда и суточной пробы.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3.14.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3.15.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3.16. Оценка качества продукции заносится в </w:t>
      </w:r>
      <w:proofErr w:type="spellStart"/>
      <w:r w:rsidRPr="00A10CD7">
        <w:rPr>
          <w:rFonts w:ascii="Times New Roman" w:hAnsi="Times New Roman" w:cs="Times New Roman"/>
          <w:sz w:val="28"/>
          <w:szCs w:val="28"/>
        </w:rPr>
        <w:t>бракеражный</w:t>
      </w:r>
      <w:proofErr w:type="spellEnd"/>
      <w:r w:rsidRPr="00A10CD7">
        <w:rPr>
          <w:rFonts w:ascii="Times New Roman" w:hAnsi="Times New Roman" w:cs="Times New Roman"/>
          <w:sz w:val="28"/>
          <w:szCs w:val="28"/>
        </w:rPr>
        <w:t xml:space="preserve"> журнал до начала ее реализации. Выдача готовой пищи производится только после </w:t>
      </w:r>
      <w:r w:rsidRPr="00A10CD7">
        <w:rPr>
          <w:rFonts w:ascii="Times New Roman" w:hAnsi="Times New Roman" w:cs="Times New Roman"/>
          <w:sz w:val="28"/>
          <w:szCs w:val="28"/>
        </w:rPr>
        <w:lastRenderedPageBreak/>
        <w:t xml:space="preserve">снятия пробы и записи в </w:t>
      </w:r>
      <w:proofErr w:type="spellStart"/>
      <w:r w:rsidRPr="00A10CD7">
        <w:rPr>
          <w:rFonts w:ascii="Times New Roman" w:hAnsi="Times New Roman" w:cs="Times New Roman"/>
          <w:sz w:val="28"/>
          <w:szCs w:val="28"/>
        </w:rPr>
        <w:t>бракеражном</w:t>
      </w:r>
      <w:proofErr w:type="spellEnd"/>
      <w:r w:rsidRPr="00A10CD7">
        <w:rPr>
          <w:rFonts w:ascii="Times New Roman" w:hAnsi="Times New Roman" w:cs="Times New Roman"/>
          <w:sz w:val="28"/>
          <w:szCs w:val="28"/>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3.17. Замечания и нарушения, установленные комиссией в организации питания детей, заносятся в </w:t>
      </w:r>
      <w:proofErr w:type="spellStart"/>
      <w:r w:rsidRPr="00A10CD7">
        <w:rPr>
          <w:rFonts w:ascii="Times New Roman" w:hAnsi="Times New Roman" w:cs="Times New Roman"/>
          <w:sz w:val="28"/>
          <w:szCs w:val="28"/>
        </w:rPr>
        <w:t>бракеражный</w:t>
      </w:r>
      <w:proofErr w:type="spellEnd"/>
      <w:r w:rsidRPr="00A10CD7">
        <w:rPr>
          <w:rFonts w:ascii="Times New Roman" w:hAnsi="Times New Roman" w:cs="Times New Roman"/>
          <w:sz w:val="28"/>
          <w:szCs w:val="28"/>
        </w:rPr>
        <w:t xml:space="preserve"> журнал.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3.18. Основными формами работы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являются: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совещания, которые проводятся 1 раз в квартал;</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контроль, осуществляемый руководителем ДОУ, членами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согласно плану производственного контроля ДОУ.</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3.19. 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3.20.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Примерный перечень вопросов, подлежащих контролю и рассмотрению:</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оценка органолептических свойств приготовленной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полнотой вложения продуктов в котел;</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предотвращение пищевых отравлений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предотвращение желудочно-кишечных заболеваний;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соблюдением технологии приготовления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обеспечение санитарии и гигиены на пищеблоке;</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организацией сбалансированного безопасного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хранением и реализацией пищевых продуктов;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качеством поступающих пищевых продуктов и наличием сопроводительных документов;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ведение журналов бракеража готовой кулинарной продукции и бракеража поступающего продовольственного сырья;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качеством готовых блюд и соблюдением объема порций;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выполнением норм питания и витаминизацией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соблюдением питьевого режима;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закладкой основных продуктов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контроль за отбором суточной пробы.</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lastRenderedPageBreak/>
        <w:t xml:space="preserve">Итоги проверок заслушиваются на совещании при заведующем, где обсуждаются замечания и предложения по организации и качества питания в детском саду.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3.21. Администрация ДОУ обязана содействовать в деятельности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и принимать меры по устранению нарушений и замечаний, выявленных комиссией.</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Pr="00404F0A" w:rsidRDefault="00A10CD7" w:rsidP="00A10CD7">
      <w:pPr>
        <w:spacing w:after="0" w:line="276" w:lineRule="auto"/>
        <w:ind w:firstLine="709"/>
        <w:jc w:val="center"/>
        <w:rPr>
          <w:rFonts w:ascii="Times New Roman" w:hAnsi="Times New Roman" w:cs="Times New Roman"/>
          <w:b/>
          <w:sz w:val="28"/>
          <w:szCs w:val="28"/>
        </w:rPr>
      </w:pPr>
      <w:r w:rsidRPr="00404F0A">
        <w:rPr>
          <w:rFonts w:ascii="Times New Roman" w:hAnsi="Times New Roman" w:cs="Times New Roman"/>
          <w:b/>
          <w:sz w:val="28"/>
          <w:szCs w:val="28"/>
        </w:rPr>
        <w:t xml:space="preserve">4. Права, обязанности, ответственность </w:t>
      </w:r>
      <w:proofErr w:type="spellStart"/>
      <w:r w:rsidRPr="00404F0A">
        <w:rPr>
          <w:rFonts w:ascii="Times New Roman" w:hAnsi="Times New Roman" w:cs="Times New Roman"/>
          <w:b/>
          <w:sz w:val="28"/>
          <w:szCs w:val="28"/>
        </w:rPr>
        <w:t>бракеражной</w:t>
      </w:r>
      <w:proofErr w:type="spellEnd"/>
      <w:r w:rsidRPr="00404F0A">
        <w:rPr>
          <w:rFonts w:ascii="Times New Roman" w:hAnsi="Times New Roman" w:cs="Times New Roman"/>
          <w:b/>
          <w:sz w:val="28"/>
          <w:szCs w:val="28"/>
        </w:rPr>
        <w:t xml:space="preserve"> комиссии</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4.1.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имеет право:</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выносить на обсуждение конкретные предложения по организации питания в детском саду;</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контролировать выполнение принятых решений;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направлять при необходимости продукцию на исследование в санитарно-технологическую пищевую лабораторию;</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составлять инвентаризационные ведомости и акты на списание невостребованных порций, недоброкачественных продуктов;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давать рекомендации, направленные на улучшение питания в ДОУ;</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4.2.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обязана: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контролировать соблюдение санитарно-гигиенических норм при транспортировке, доставке и разгрузке продуктов питания;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проверять складские и другие помещения на пригодность для хранения продуктов питания, а также условия хранения продуктов;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контролировать организацию работы на пищеблоке;</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следить за соблюдением правил личной гигиены работниками пищеблока;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осуществлять контроль сроков реализации продуктов питания и качества приготовления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следить за правильностью составления меню;</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присутствовать при закладке основных продуктов, проверять выход блюд;</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осуществлять контроль соответствия пищи физиологическим потребностям воспитанников в основных пищевых веществах;</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проводить органолептическую оценку готовой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проверять соответствие объемов приготовленного питания объему разовых порций и количеству воспитанников;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lastRenderedPageBreak/>
        <w:t>проводить просветительскую работу с педагогами и родителями воспитанников.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4.3. </w:t>
      </w:r>
      <w:proofErr w:type="spellStart"/>
      <w:r w:rsidRPr="00A10CD7">
        <w:rPr>
          <w:rFonts w:ascii="Times New Roman" w:hAnsi="Times New Roman" w:cs="Times New Roman"/>
          <w:sz w:val="28"/>
          <w:szCs w:val="28"/>
        </w:rPr>
        <w:t>Бракеражная</w:t>
      </w:r>
      <w:proofErr w:type="spellEnd"/>
      <w:r w:rsidRPr="00A10CD7">
        <w:rPr>
          <w:rFonts w:ascii="Times New Roman" w:hAnsi="Times New Roman" w:cs="Times New Roman"/>
          <w:sz w:val="28"/>
          <w:szCs w:val="28"/>
        </w:rPr>
        <w:t xml:space="preserve"> комиссия несет ответственность:</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за выполнение закрепленных за ней полномочий;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за принятие решений по вопросам, предусмотренным настоящим Положением, и в соответствии с действующим законодательством РФ;</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за достоверность излагаемых фактов в </w:t>
      </w:r>
      <w:proofErr w:type="spellStart"/>
      <w:r w:rsidRPr="00A10CD7">
        <w:rPr>
          <w:rFonts w:ascii="Times New Roman" w:hAnsi="Times New Roman" w:cs="Times New Roman"/>
          <w:sz w:val="28"/>
          <w:szCs w:val="28"/>
        </w:rPr>
        <w:t>бракеражном</w:t>
      </w:r>
      <w:proofErr w:type="spellEnd"/>
      <w:r w:rsidRPr="00A10CD7">
        <w:rPr>
          <w:rFonts w:ascii="Times New Roman" w:hAnsi="Times New Roman" w:cs="Times New Roman"/>
          <w:sz w:val="28"/>
          <w:szCs w:val="28"/>
        </w:rPr>
        <w:t xml:space="preserve"> журнале готовой продукции, в журнале контроля над закладкой основных продуктов, в актах на списание невостребованных порций, оставшихся по причине отсутствия детей.</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404F0A" w:rsidRDefault="00A10CD7" w:rsidP="00A10CD7">
      <w:pPr>
        <w:spacing w:after="0" w:line="276" w:lineRule="auto"/>
        <w:ind w:firstLine="709"/>
        <w:jc w:val="center"/>
        <w:rPr>
          <w:rFonts w:ascii="Times New Roman" w:hAnsi="Times New Roman" w:cs="Times New Roman"/>
          <w:b/>
          <w:sz w:val="28"/>
          <w:szCs w:val="28"/>
        </w:rPr>
      </w:pPr>
      <w:r w:rsidRPr="00404F0A">
        <w:rPr>
          <w:rFonts w:ascii="Times New Roman" w:hAnsi="Times New Roman" w:cs="Times New Roman"/>
          <w:b/>
          <w:sz w:val="28"/>
          <w:szCs w:val="28"/>
        </w:rPr>
        <w:t>5. Делопроизводство</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5.1. Дошкольное образовательное учреждение ведет акты на списание невостребованных порций и </w:t>
      </w:r>
      <w:proofErr w:type="spellStart"/>
      <w:r w:rsidRPr="00A10CD7">
        <w:rPr>
          <w:rFonts w:ascii="Times New Roman" w:hAnsi="Times New Roman" w:cs="Times New Roman"/>
          <w:sz w:val="28"/>
          <w:szCs w:val="28"/>
        </w:rPr>
        <w:t>бракеражные</w:t>
      </w:r>
      <w:proofErr w:type="spellEnd"/>
      <w:r w:rsidRPr="00A10CD7">
        <w:rPr>
          <w:rFonts w:ascii="Times New Roman" w:hAnsi="Times New Roman" w:cs="Times New Roman"/>
          <w:sz w:val="28"/>
          <w:szCs w:val="28"/>
        </w:rPr>
        <w:t xml:space="preserve"> журналы:</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Журнал бракеража готовой кулинарной продукции;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Журнал бракеража поступающего продовольственного сырья.</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5.2. </w:t>
      </w:r>
      <w:proofErr w:type="spellStart"/>
      <w:r w:rsidRPr="00A10CD7">
        <w:rPr>
          <w:rFonts w:ascii="Times New Roman" w:hAnsi="Times New Roman" w:cs="Times New Roman"/>
          <w:sz w:val="28"/>
          <w:szCs w:val="28"/>
        </w:rPr>
        <w:t>Бракеражные</w:t>
      </w:r>
      <w:proofErr w:type="spellEnd"/>
      <w:r w:rsidRPr="00A10CD7">
        <w:rPr>
          <w:rFonts w:ascii="Times New Roman" w:hAnsi="Times New Roman" w:cs="Times New Roman"/>
          <w:sz w:val="28"/>
          <w:szCs w:val="28"/>
        </w:rPr>
        <w:t xml:space="preserve"> журналы должны быть пронумерованы, прошнурованы и скреплены печатью учреждения.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5.3. Журнал бракеража готовой продукции хранится у медицинской сестры.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5.4. Журнал бракеража поступающего продовольственного сырья хранится на складе и заполняется по мере поступления продовольственного сырья и пищевых продуктов.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5.5. В акте на списание невостребованных порций, оставшихся по причине отсутствия детей, отмечается: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дата;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наименование блюда;</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количество порций и выход в граммах;</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причина невостребованных блюд;</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количество отсутствующих детей;</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какой группе были выданы невостребованные блюда на дополнительное питание.</w:t>
      </w:r>
    </w:p>
    <w:p w:rsidR="00A10CD7" w:rsidRDefault="00A10CD7" w:rsidP="00A10CD7">
      <w:pPr>
        <w:spacing w:after="0" w:line="276" w:lineRule="auto"/>
        <w:ind w:firstLine="709"/>
        <w:jc w:val="both"/>
        <w:rPr>
          <w:rFonts w:ascii="Times New Roman" w:hAnsi="Times New Roman" w:cs="Times New Roman"/>
          <w:sz w:val="28"/>
          <w:szCs w:val="28"/>
        </w:rPr>
      </w:pPr>
    </w:p>
    <w:p w:rsidR="00A10CD7" w:rsidRPr="00404F0A" w:rsidRDefault="00A10CD7" w:rsidP="00A10CD7">
      <w:pPr>
        <w:spacing w:after="0" w:line="276" w:lineRule="auto"/>
        <w:ind w:firstLine="709"/>
        <w:jc w:val="center"/>
        <w:rPr>
          <w:rFonts w:ascii="Times New Roman" w:hAnsi="Times New Roman" w:cs="Times New Roman"/>
          <w:b/>
          <w:sz w:val="28"/>
          <w:szCs w:val="28"/>
        </w:rPr>
      </w:pPr>
      <w:r w:rsidRPr="00404F0A">
        <w:rPr>
          <w:rFonts w:ascii="Times New Roman" w:hAnsi="Times New Roman" w:cs="Times New Roman"/>
          <w:b/>
          <w:sz w:val="28"/>
          <w:szCs w:val="28"/>
        </w:rPr>
        <w:t>6. Заключительные положения</w:t>
      </w:r>
    </w:p>
    <w:p w:rsidR="00A10CD7" w:rsidRPr="00404F0A" w:rsidRDefault="00A10CD7" w:rsidP="00A10CD7">
      <w:pPr>
        <w:spacing w:after="0" w:line="276" w:lineRule="auto"/>
        <w:ind w:firstLine="709"/>
        <w:jc w:val="both"/>
        <w:rPr>
          <w:rFonts w:ascii="Times New Roman" w:hAnsi="Times New Roman" w:cs="Times New Roman"/>
          <w:b/>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6.1. Настоящее Положение о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 детском саду является локальным нормативным актом, принимается на </w:t>
      </w:r>
      <w:r w:rsidR="00990A9A">
        <w:rPr>
          <w:rFonts w:ascii="Times New Roman" w:hAnsi="Times New Roman" w:cs="Times New Roman"/>
          <w:sz w:val="28"/>
          <w:szCs w:val="28"/>
        </w:rPr>
        <w:t>Общем собрании трудового коллектива</w:t>
      </w:r>
      <w:r w:rsidRPr="00A10CD7">
        <w:rPr>
          <w:rFonts w:ascii="Times New Roman" w:hAnsi="Times New Roman" w:cs="Times New Roman"/>
          <w:sz w:val="28"/>
          <w:szCs w:val="28"/>
        </w:rPr>
        <w:t xml:space="preserve"> дошкольного образовательного учреждения и </w:t>
      </w:r>
      <w:r w:rsidRPr="00A10CD7">
        <w:rPr>
          <w:rFonts w:ascii="Times New Roman" w:hAnsi="Times New Roman" w:cs="Times New Roman"/>
          <w:sz w:val="28"/>
          <w:szCs w:val="28"/>
        </w:rPr>
        <w:lastRenderedPageBreak/>
        <w:t xml:space="preserve">утверждается (либо вводится в действие) приказом заведующего дошкольным образовательным учреждением.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6.3. Положение о </w:t>
      </w:r>
      <w:proofErr w:type="spellStart"/>
      <w:r w:rsidRPr="00A10CD7">
        <w:rPr>
          <w:rFonts w:ascii="Times New Roman" w:hAnsi="Times New Roman" w:cs="Times New Roman"/>
          <w:sz w:val="28"/>
          <w:szCs w:val="28"/>
        </w:rPr>
        <w:t>бракеражной</w:t>
      </w:r>
      <w:proofErr w:type="spellEnd"/>
      <w:r w:rsidRPr="00A10CD7">
        <w:rPr>
          <w:rFonts w:ascii="Times New Roman" w:hAnsi="Times New Roman" w:cs="Times New Roman"/>
          <w:sz w:val="28"/>
          <w:szCs w:val="28"/>
        </w:rPr>
        <w:t xml:space="preserve"> комиссии в дошкольном образовательном учреждении принимается на неопределенный срок. Изменения и дополнения к Положению принимаются в порядке, предусмотренном п.6.1. настоящего Положения.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990A9A" w:rsidRDefault="00990A9A" w:rsidP="00A10CD7">
      <w:pPr>
        <w:spacing w:after="0" w:line="276" w:lineRule="auto"/>
        <w:ind w:firstLine="709"/>
        <w:jc w:val="right"/>
        <w:rPr>
          <w:rFonts w:ascii="Times New Roman" w:hAnsi="Times New Roman" w:cs="Times New Roman"/>
          <w:sz w:val="28"/>
          <w:szCs w:val="28"/>
        </w:rPr>
      </w:pPr>
    </w:p>
    <w:p w:rsidR="00990A9A" w:rsidRDefault="00990A9A" w:rsidP="00A10CD7">
      <w:pPr>
        <w:spacing w:after="0" w:line="276" w:lineRule="auto"/>
        <w:ind w:firstLine="709"/>
        <w:jc w:val="right"/>
        <w:rPr>
          <w:rFonts w:ascii="Times New Roman" w:hAnsi="Times New Roman" w:cs="Times New Roman"/>
          <w:sz w:val="28"/>
          <w:szCs w:val="28"/>
        </w:rPr>
      </w:pPr>
    </w:p>
    <w:p w:rsidR="00990A9A" w:rsidRDefault="00990A9A"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Pr="00A10CD7" w:rsidRDefault="00A10CD7" w:rsidP="00A10CD7">
      <w:pPr>
        <w:spacing w:after="0" w:line="276" w:lineRule="auto"/>
        <w:ind w:firstLine="709"/>
        <w:jc w:val="right"/>
        <w:rPr>
          <w:rFonts w:ascii="Times New Roman" w:hAnsi="Times New Roman" w:cs="Times New Roman"/>
          <w:sz w:val="28"/>
          <w:szCs w:val="28"/>
        </w:rPr>
      </w:pPr>
      <w:r w:rsidRPr="00A10CD7">
        <w:rPr>
          <w:rFonts w:ascii="Times New Roman" w:hAnsi="Times New Roman" w:cs="Times New Roman"/>
          <w:sz w:val="28"/>
          <w:szCs w:val="28"/>
        </w:rPr>
        <w:lastRenderedPageBreak/>
        <w:t>Приложение 1</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Методика определения качества продуктов</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Признаки доброкачественности основных продуктов, используемых в детском питании</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Мясо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 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Колбасные изделия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Рыба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У свежей рыбы чешуя гладкая, блестящая, плотно прилегает к телу, жабры </w:t>
      </w:r>
      <w:proofErr w:type="spellStart"/>
      <w:r w:rsidRPr="00A10CD7">
        <w:rPr>
          <w:rFonts w:ascii="Times New Roman" w:hAnsi="Times New Roman" w:cs="Times New Roman"/>
          <w:sz w:val="28"/>
          <w:szCs w:val="28"/>
        </w:rPr>
        <w:t>яркокрасного</w:t>
      </w:r>
      <w:proofErr w:type="spellEnd"/>
      <w:r w:rsidRPr="00A10CD7">
        <w:rPr>
          <w:rFonts w:ascii="Times New Roman" w:hAnsi="Times New Roman" w:cs="Times New Roman"/>
          <w:sz w:val="28"/>
          <w:szCs w:val="28"/>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Молоко и молочные продукты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Сметана должна иметь густую однородную консистенцию без крупинок белка и жира, цвет </w:t>
      </w:r>
      <w:r w:rsidRPr="00A10CD7">
        <w:rPr>
          <w:rFonts w:ascii="Times New Roman" w:hAnsi="Times New Roman" w:cs="Times New Roman"/>
          <w:sz w:val="28"/>
          <w:szCs w:val="28"/>
        </w:rPr>
        <w:lastRenderedPageBreak/>
        <w:t>белый или слабо-желтый, характерный для себя вкус и запах, небольшую кислотность. 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Яйца </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both"/>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Default="00A10CD7" w:rsidP="00A10CD7">
      <w:pPr>
        <w:spacing w:after="0" w:line="276" w:lineRule="auto"/>
        <w:ind w:firstLine="709"/>
        <w:jc w:val="right"/>
        <w:rPr>
          <w:rFonts w:ascii="Times New Roman" w:hAnsi="Times New Roman" w:cs="Times New Roman"/>
          <w:sz w:val="28"/>
          <w:szCs w:val="28"/>
        </w:rPr>
      </w:pPr>
    </w:p>
    <w:p w:rsidR="00A10CD7" w:rsidRPr="00A10CD7" w:rsidRDefault="00A10CD7" w:rsidP="00A10CD7">
      <w:pPr>
        <w:spacing w:after="0" w:line="276" w:lineRule="auto"/>
        <w:ind w:firstLine="709"/>
        <w:jc w:val="right"/>
        <w:rPr>
          <w:rFonts w:ascii="Times New Roman" w:hAnsi="Times New Roman" w:cs="Times New Roman"/>
          <w:sz w:val="28"/>
          <w:szCs w:val="28"/>
        </w:rPr>
      </w:pPr>
      <w:r w:rsidRPr="00A10CD7">
        <w:rPr>
          <w:rFonts w:ascii="Times New Roman" w:hAnsi="Times New Roman" w:cs="Times New Roman"/>
          <w:sz w:val="28"/>
          <w:szCs w:val="28"/>
        </w:rPr>
        <w:lastRenderedPageBreak/>
        <w:t>Приложение 2</w:t>
      </w:r>
    </w:p>
    <w:p w:rsidR="00A10CD7" w:rsidRPr="00A10CD7" w:rsidRDefault="00A10CD7" w:rsidP="00A10CD7">
      <w:pPr>
        <w:spacing w:after="0" w:line="276" w:lineRule="auto"/>
        <w:ind w:firstLine="709"/>
        <w:jc w:val="both"/>
        <w:rPr>
          <w:rFonts w:ascii="Times New Roman" w:hAnsi="Times New Roman" w:cs="Times New Roman"/>
          <w:sz w:val="28"/>
          <w:szCs w:val="28"/>
        </w:rPr>
      </w:pP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Методика органолептической оценки пищи</w:t>
      </w:r>
    </w:p>
    <w:p w:rsidR="00A10CD7" w:rsidRP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Органолептическая оценка первых блюд </w:t>
      </w:r>
      <w:proofErr w:type="gramStart"/>
      <w:r w:rsidRPr="00A10CD7">
        <w:rPr>
          <w:rFonts w:ascii="Times New Roman" w:hAnsi="Times New Roman" w:cs="Times New Roman"/>
          <w:sz w:val="28"/>
          <w:szCs w:val="28"/>
        </w:rPr>
        <w:t>Для</w:t>
      </w:r>
      <w:proofErr w:type="gramEnd"/>
      <w:r w:rsidRPr="00A10CD7">
        <w:rPr>
          <w:rFonts w:ascii="Times New Roman" w:hAnsi="Times New Roman" w:cs="Times New Roman"/>
          <w:sz w:val="28"/>
          <w:szCs w:val="28"/>
        </w:rPr>
        <w:t xml:space="preserve"> органолептической оценки первого блюда (после тщательного перемешивания в котле) его берут в небольшом количестве на тарелку. 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Органолептическая оценка вторых блюд </w:t>
      </w:r>
    </w:p>
    <w:p w:rsidR="00A10CD7" w:rsidRDefault="00A10CD7" w:rsidP="00A10CD7">
      <w:pPr>
        <w:spacing w:after="0" w:line="276" w:lineRule="auto"/>
        <w:ind w:firstLine="709"/>
        <w:jc w:val="both"/>
        <w:rPr>
          <w:rFonts w:ascii="Times New Roman" w:hAnsi="Times New Roman" w:cs="Times New Roman"/>
          <w:sz w:val="28"/>
          <w:szCs w:val="28"/>
        </w:rPr>
      </w:pPr>
      <w:r w:rsidRPr="00A10CD7">
        <w:rPr>
          <w:rFonts w:ascii="Times New Roman" w:hAnsi="Times New Roman" w:cs="Times New Roman"/>
          <w:sz w:val="28"/>
          <w:szCs w:val="28"/>
        </w:rPr>
        <w:t xml:space="preserve">Органолептическая оценка вторых блюд проводится по их составным частям. Общая оценка дается только соусным блюдам (рагу, гуляш). При внешнем осмотре блюда обращают внимание на характер нарезки мяса, равномерность </w:t>
      </w:r>
      <w:proofErr w:type="spellStart"/>
      <w:r w:rsidRPr="00A10CD7">
        <w:rPr>
          <w:rFonts w:ascii="Times New Roman" w:hAnsi="Times New Roman" w:cs="Times New Roman"/>
          <w:sz w:val="28"/>
          <w:szCs w:val="28"/>
        </w:rPr>
        <w:t>порционирования</w:t>
      </w:r>
      <w:proofErr w:type="spellEnd"/>
      <w:r w:rsidRPr="00A10CD7">
        <w:rPr>
          <w:rFonts w:ascii="Times New Roman" w:hAnsi="Times New Roman" w:cs="Times New Roman"/>
          <w:sz w:val="28"/>
          <w:szCs w:val="28"/>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A10CD7">
        <w:rPr>
          <w:rFonts w:ascii="Times New Roman" w:hAnsi="Times New Roman" w:cs="Times New Roman"/>
          <w:sz w:val="28"/>
          <w:szCs w:val="28"/>
        </w:rPr>
        <w:t>прожаренности</w:t>
      </w:r>
      <w:proofErr w:type="spellEnd"/>
      <w:r w:rsidRPr="00A10CD7">
        <w:rPr>
          <w:rFonts w:ascii="Times New Roman" w:hAnsi="Times New Roman" w:cs="Times New Roman"/>
          <w:sz w:val="28"/>
          <w:szCs w:val="28"/>
        </w:rPr>
        <w:t xml:space="preserve"> или нарушении сроков хранения котлетного фарша). 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w:t>
      </w:r>
      <w:r w:rsidRPr="00A10CD7">
        <w:rPr>
          <w:rFonts w:ascii="Times New Roman" w:hAnsi="Times New Roman" w:cs="Times New Roman"/>
          <w:sz w:val="28"/>
          <w:szCs w:val="28"/>
        </w:rPr>
        <w:lastRenderedPageBreak/>
        <w:t>лука, имеет серый цвет, горьковатый привкус. Если в него входят томат и жир или сметана, то соус должен быть приятного янтарного цвета.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990A9A" w:rsidRDefault="00990A9A" w:rsidP="00A10CD7">
      <w:pPr>
        <w:spacing w:after="0" w:line="276" w:lineRule="auto"/>
        <w:ind w:firstLine="709"/>
        <w:jc w:val="both"/>
        <w:rPr>
          <w:rFonts w:ascii="Times New Roman" w:hAnsi="Times New Roman" w:cs="Times New Roman"/>
          <w:sz w:val="28"/>
          <w:szCs w:val="28"/>
        </w:rPr>
      </w:pPr>
    </w:p>
    <w:p w:rsidR="00990A9A" w:rsidRPr="00AC3A18" w:rsidRDefault="00990A9A" w:rsidP="00990A9A">
      <w:pPr>
        <w:spacing w:after="0" w:line="276" w:lineRule="auto"/>
        <w:jc w:val="both"/>
        <w:rPr>
          <w:rFonts w:ascii="Times New Roman" w:hAnsi="Times New Roman" w:cs="Times New Roman"/>
          <w:sz w:val="28"/>
          <w:szCs w:val="28"/>
        </w:rPr>
      </w:pPr>
      <w:r w:rsidRPr="008B3BB0">
        <w:rPr>
          <w:rFonts w:ascii="Times New Roman" w:eastAsia="Calibri" w:hAnsi="Times New Roman" w:cs="Times New Roman"/>
          <w:sz w:val="28"/>
        </w:rPr>
        <w:t>ПРИНЯТО</w:t>
      </w:r>
      <w:r w:rsidRPr="00AC3A1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90A9A" w:rsidRDefault="00990A9A" w:rsidP="00990A9A">
      <w:pPr>
        <w:spacing w:after="0" w:line="276" w:lineRule="auto"/>
        <w:jc w:val="both"/>
        <w:rPr>
          <w:rFonts w:ascii="Times New Roman" w:eastAsia="Calibri" w:hAnsi="Times New Roman" w:cs="Times New Roman"/>
          <w:sz w:val="28"/>
        </w:rPr>
      </w:pPr>
      <w:r w:rsidRPr="008B3BB0">
        <w:rPr>
          <w:rFonts w:ascii="Times New Roman" w:eastAsia="Calibri" w:hAnsi="Times New Roman" w:cs="Times New Roman"/>
          <w:sz w:val="28"/>
        </w:rPr>
        <w:t xml:space="preserve">на </w:t>
      </w:r>
      <w:r>
        <w:rPr>
          <w:rFonts w:ascii="Times New Roman" w:eastAsia="Calibri" w:hAnsi="Times New Roman" w:cs="Times New Roman"/>
          <w:sz w:val="28"/>
        </w:rPr>
        <w:t xml:space="preserve">общем собрании </w:t>
      </w:r>
    </w:p>
    <w:p w:rsidR="00990A9A" w:rsidRPr="008B3BB0" w:rsidRDefault="00990A9A" w:rsidP="00990A9A">
      <w:pPr>
        <w:spacing w:after="0" w:line="276" w:lineRule="auto"/>
        <w:jc w:val="both"/>
        <w:rPr>
          <w:rFonts w:ascii="Times New Roman" w:eastAsia="Calibri" w:hAnsi="Times New Roman" w:cs="Times New Roman"/>
          <w:sz w:val="28"/>
        </w:rPr>
      </w:pPr>
      <w:r>
        <w:rPr>
          <w:rFonts w:ascii="Times New Roman" w:eastAsia="Calibri" w:hAnsi="Times New Roman" w:cs="Times New Roman"/>
          <w:sz w:val="28"/>
        </w:rPr>
        <w:t>трудового коллектива</w:t>
      </w:r>
    </w:p>
    <w:p w:rsidR="00990A9A" w:rsidRPr="008B3BB0" w:rsidRDefault="00990A9A" w:rsidP="00990A9A">
      <w:pPr>
        <w:spacing w:after="0" w:line="240" w:lineRule="auto"/>
        <w:contextualSpacing/>
        <w:rPr>
          <w:rFonts w:ascii="Calibri" w:eastAsia="Calibri" w:hAnsi="Calibri" w:cs="Times New Roman"/>
        </w:rPr>
      </w:pPr>
      <w:r w:rsidRPr="008B3BB0">
        <w:rPr>
          <w:rFonts w:ascii="Times New Roman" w:eastAsia="Calibri" w:hAnsi="Times New Roman" w:cs="Times New Roman"/>
          <w:sz w:val="28"/>
        </w:rPr>
        <w:t>(протокол от ___________№_____)</w:t>
      </w:r>
    </w:p>
    <w:p w:rsidR="00990A9A" w:rsidRPr="00B04F17" w:rsidRDefault="00990A9A" w:rsidP="00990A9A">
      <w:pPr>
        <w:spacing w:after="0" w:line="276" w:lineRule="auto"/>
        <w:ind w:firstLine="709"/>
        <w:jc w:val="both"/>
        <w:rPr>
          <w:rFonts w:ascii="Times New Roman" w:hAnsi="Times New Roman" w:cs="Times New Roman"/>
          <w:sz w:val="28"/>
          <w:szCs w:val="28"/>
        </w:rPr>
      </w:pPr>
    </w:p>
    <w:p w:rsidR="00990A9A" w:rsidRPr="00A10CD7" w:rsidRDefault="00990A9A" w:rsidP="00A10CD7">
      <w:pPr>
        <w:spacing w:after="0" w:line="276" w:lineRule="auto"/>
        <w:ind w:firstLine="709"/>
        <w:jc w:val="both"/>
        <w:rPr>
          <w:rFonts w:ascii="Times New Roman" w:hAnsi="Times New Roman" w:cs="Times New Roman"/>
          <w:sz w:val="28"/>
          <w:szCs w:val="28"/>
        </w:rPr>
      </w:pPr>
    </w:p>
    <w:sectPr w:rsidR="00990A9A" w:rsidRPr="00A10CD7" w:rsidSect="00A10CD7">
      <w:pgSz w:w="11906" w:h="16838"/>
      <w:pgMar w:top="1134" w:right="851"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58"/>
    <w:rsid w:val="001E06BA"/>
    <w:rsid w:val="002121F5"/>
    <w:rsid w:val="0024210F"/>
    <w:rsid w:val="0035233C"/>
    <w:rsid w:val="00404F0A"/>
    <w:rsid w:val="0044041E"/>
    <w:rsid w:val="0056100D"/>
    <w:rsid w:val="0056699D"/>
    <w:rsid w:val="00646781"/>
    <w:rsid w:val="00660987"/>
    <w:rsid w:val="006B5796"/>
    <w:rsid w:val="00727F49"/>
    <w:rsid w:val="00790C02"/>
    <w:rsid w:val="00965964"/>
    <w:rsid w:val="00990A9A"/>
    <w:rsid w:val="00A05C27"/>
    <w:rsid w:val="00A10CD7"/>
    <w:rsid w:val="00A56F19"/>
    <w:rsid w:val="00A971A0"/>
    <w:rsid w:val="00B03C04"/>
    <w:rsid w:val="00B70B4B"/>
    <w:rsid w:val="00B944E1"/>
    <w:rsid w:val="00C00B50"/>
    <w:rsid w:val="00C128B9"/>
    <w:rsid w:val="00C41F9F"/>
    <w:rsid w:val="00C66426"/>
    <w:rsid w:val="00C80A2C"/>
    <w:rsid w:val="00C811EC"/>
    <w:rsid w:val="00DA7C69"/>
    <w:rsid w:val="00DB1AAD"/>
    <w:rsid w:val="00EE28B7"/>
    <w:rsid w:val="00F67A05"/>
    <w:rsid w:val="00F73858"/>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A9568-8861-4CE2-B104-41A9D390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C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404F0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12042">
      <w:bodyDiv w:val="1"/>
      <w:marLeft w:val="0"/>
      <w:marRight w:val="0"/>
      <w:marTop w:val="0"/>
      <w:marBottom w:val="0"/>
      <w:divBdr>
        <w:top w:val="none" w:sz="0" w:space="0" w:color="auto"/>
        <w:left w:val="none" w:sz="0" w:space="0" w:color="auto"/>
        <w:bottom w:val="none" w:sz="0" w:space="0" w:color="auto"/>
        <w:right w:val="none" w:sz="0" w:space="0" w:color="auto"/>
      </w:divBdr>
    </w:div>
    <w:div w:id="759453505">
      <w:bodyDiv w:val="1"/>
      <w:marLeft w:val="0"/>
      <w:marRight w:val="0"/>
      <w:marTop w:val="0"/>
      <w:marBottom w:val="0"/>
      <w:divBdr>
        <w:top w:val="none" w:sz="0" w:space="0" w:color="auto"/>
        <w:left w:val="none" w:sz="0" w:space="0" w:color="auto"/>
        <w:bottom w:val="none" w:sz="0" w:space="0" w:color="auto"/>
        <w:right w:val="none" w:sz="0" w:space="0" w:color="auto"/>
      </w:divBdr>
    </w:div>
    <w:div w:id="793213951">
      <w:bodyDiv w:val="1"/>
      <w:marLeft w:val="0"/>
      <w:marRight w:val="0"/>
      <w:marTop w:val="0"/>
      <w:marBottom w:val="0"/>
      <w:divBdr>
        <w:top w:val="none" w:sz="0" w:space="0" w:color="auto"/>
        <w:left w:val="none" w:sz="0" w:space="0" w:color="auto"/>
        <w:bottom w:val="none" w:sz="0" w:space="0" w:color="auto"/>
        <w:right w:val="none" w:sz="0" w:space="0" w:color="auto"/>
      </w:divBdr>
    </w:div>
    <w:div w:id="19042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2021-03-29T13:02:00Z</cp:lastPrinted>
  <dcterms:created xsi:type="dcterms:W3CDTF">2021-12-17T11:12:00Z</dcterms:created>
  <dcterms:modified xsi:type="dcterms:W3CDTF">2021-12-17T11:12:00Z</dcterms:modified>
</cp:coreProperties>
</file>